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96" w:rsidRDefault="00700928" w:rsidP="00700928">
      <w:pPr>
        <w:pStyle w:val="Title"/>
        <w:jc w:val="center"/>
      </w:pPr>
      <w:r>
        <w:t xml:space="preserve">Installation, Timing and Gating Details for </w:t>
      </w:r>
      <w:r w:rsidR="00E77536">
        <w:t xml:space="preserve">The Linac Chopper and the </w:t>
      </w:r>
      <w:r>
        <w:t>BPM’s In the Booster</w:t>
      </w:r>
    </w:p>
    <w:p w:rsidR="00762CF5" w:rsidRPr="00700928" w:rsidRDefault="00311E83" w:rsidP="00700928">
      <w:pPr>
        <w:spacing w:after="0"/>
        <w:jc w:val="center"/>
        <w:rPr>
          <w:sz w:val="24"/>
          <w:szCs w:val="24"/>
        </w:rPr>
      </w:pPr>
      <w:r>
        <w:rPr>
          <w:sz w:val="24"/>
          <w:szCs w:val="24"/>
        </w:rPr>
        <w:t>April 21, 2014</w:t>
      </w:r>
    </w:p>
    <w:p w:rsidR="00762CF5" w:rsidRDefault="00700928" w:rsidP="00700928">
      <w:pPr>
        <w:spacing w:after="0"/>
        <w:jc w:val="center"/>
      </w:pPr>
      <w:r>
        <w:t>Craig Drennan</w:t>
      </w:r>
    </w:p>
    <w:p w:rsidR="00762CF5" w:rsidRDefault="00762CF5"/>
    <w:p w:rsidR="00762CF5" w:rsidRDefault="00762CF5">
      <w:r>
        <w:br w:type="page"/>
      </w:r>
    </w:p>
    <w:sdt>
      <w:sdtPr>
        <w:rPr>
          <w:rFonts w:asciiTheme="minorHAnsi" w:eastAsiaTheme="minorHAnsi" w:hAnsiTheme="minorHAnsi" w:cstheme="minorBidi"/>
          <w:b w:val="0"/>
          <w:bCs w:val="0"/>
          <w:color w:val="auto"/>
          <w:sz w:val="22"/>
          <w:szCs w:val="22"/>
        </w:rPr>
        <w:id w:val="419551657"/>
        <w:docPartObj>
          <w:docPartGallery w:val="Table of Contents"/>
          <w:docPartUnique/>
        </w:docPartObj>
      </w:sdtPr>
      <w:sdtContent>
        <w:p w:rsidR="005D7E11" w:rsidRDefault="005D7E11" w:rsidP="005D7E11">
          <w:pPr>
            <w:pStyle w:val="TOCStyle"/>
          </w:pPr>
          <w:r>
            <w:t>Table of Contents</w:t>
          </w:r>
        </w:p>
        <w:p w:rsidR="00280C0B" w:rsidRDefault="005D7E11">
          <w:pPr>
            <w:pStyle w:val="TOC1"/>
            <w:rPr>
              <w:rFonts w:eastAsiaTheme="minorEastAsia"/>
              <w:noProof/>
            </w:rPr>
          </w:pPr>
          <w:r>
            <w:fldChar w:fldCharType="begin"/>
          </w:r>
          <w:r>
            <w:instrText xml:space="preserve"> TOC \o "1-3" \h \z \u </w:instrText>
          </w:r>
          <w:r>
            <w:fldChar w:fldCharType="separate"/>
          </w:r>
          <w:hyperlink w:anchor="_Toc274745953" w:history="1">
            <w:r w:rsidR="00280C0B" w:rsidRPr="009E6E2C">
              <w:rPr>
                <w:rStyle w:val="Hyperlink"/>
                <w:noProof/>
              </w:rPr>
              <w:t>I.</w:t>
            </w:r>
            <w:r w:rsidR="00280C0B">
              <w:rPr>
                <w:rFonts w:eastAsiaTheme="minorEastAsia"/>
                <w:noProof/>
              </w:rPr>
              <w:tab/>
            </w:r>
            <w:r w:rsidR="00280C0B" w:rsidRPr="009E6E2C">
              <w:rPr>
                <w:rStyle w:val="Hyperlink"/>
                <w:noProof/>
              </w:rPr>
              <w:t>Beam Delivery from the Linac to the Booster</w:t>
            </w:r>
            <w:r w:rsidR="00280C0B">
              <w:rPr>
                <w:noProof/>
                <w:webHidden/>
              </w:rPr>
              <w:tab/>
            </w:r>
            <w:r w:rsidR="00280C0B">
              <w:rPr>
                <w:noProof/>
                <w:webHidden/>
              </w:rPr>
              <w:fldChar w:fldCharType="begin"/>
            </w:r>
            <w:r w:rsidR="00280C0B">
              <w:rPr>
                <w:noProof/>
                <w:webHidden/>
              </w:rPr>
              <w:instrText xml:space="preserve"> PAGEREF _Toc274745953 \h </w:instrText>
            </w:r>
            <w:r w:rsidR="00280C0B">
              <w:rPr>
                <w:noProof/>
                <w:webHidden/>
              </w:rPr>
            </w:r>
            <w:r w:rsidR="00280C0B">
              <w:rPr>
                <w:noProof/>
                <w:webHidden/>
              </w:rPr>
              <w:fldChar w:fldCharType="separate"/>
            </w:r>
            <w:r w:rsidR="00BC19CE">
              <w:rPr>
                <w:noProof/>
                <w:webHidden/>
              </w:rPr>
              <w:t>1</w:t>
            </w:r>
            <w:r w:rsidR="00280C0B">
              <w:rPr>
                <w:noProof/>
                <w:webHidden/>
              </w:rPr>
              <w:fldChar w:fldCharType="end"/>
            </w:r>
          </w:hyperlink>
        </w:p>
        <w:p w:rsidR="00280C0B" w:rsidRDefault="00BC19CE">
          <w:pPr>
            <w:pStyle w:val="TOC1"/>
            <w:rPr>
              <w:rFonts w:eastAsiaTheme="minorEastAsia"/>
              <w:noProof/>
            </w:rPr>
          </w:pPr>
          <w:hyperlink w:anchor="_Toc274745954" w:history="1">
            <w:r w:rsidR="00280C0B" w:rsidRPr="009E6E2C">
              <w:rPr>
                <w:rStyle w:val="Hyperlink"/>
                <w:noProof/>
              </w:rPr>
              <w:t>II.</w:t>
            </w:r>
            <w:r w:rsidR="00280C0B">
              <w:rPr>
                <w:rFonts w:eastAsiaTheme="minorEastAsia"/>
                <w:noProof/>
              </w:rPr>
              <w:tab/>
            </w:r>
            <w:r w:rsidR="00280C0B" w:rsidRPr="009E6E2C">
              <w:rPr>
                <w:rStyle w:val="Hyperlink"/>
                <w:noProof/>
              </w:rPr>
              <w:t>200 MHz Beam Position Monitors</w:t>
            </w:r>
            <w:r w:rsidR="00280C0B">
              <w:rPr>
                <w:noProof/>
                <w:webHidden/>
              </w:rPr>
              <w:tab/>
            </w:r>
            <w:r w:rsidR="00280C0B">
              <w:rPr>
                <w:noProof/>
                <w:webHidden/>
              </w:rPr>
              <w:fldChar w:fldCharType="begin"/>
            </w:r>
            <w:r w:rsidR="00280C0B">
              <w:rPr>
                <w:noProof/>
                <w:webHidden/>
              </w:rPr>
              <w:instrText xml:space="preserve"> PAGEREF _Toc274745954 \h </w:instrText>
            </w:r>
            <w:r w:rsidR="00280C0B">
              <w:rPr>
                <w:noProof/>
                <w:webHidden/>
              </w:rPr>
            </w:r>
            <w:r w:rsidR="00280C0B">
              <w:rPr>
                <w:noProof/>
                <w:webHidden/>
              </w:rPr>
              <w:fldChar w:fldCharType="separate"/>
            </w:r>
            <w:r>
              <w:rPr>
                <w:noProof/>
                <w:webHidden/>
              </w:rPr>
              <w:t>1</w:t>
            </w:r>
            <w:r w:rsidR="00280C0B">
              <w:rPr>
                <w:noProof/>
                <w:webHidden/>
              </w:rPr>
              <w:fldChar w:fldCharType="end"/>
            </w:r>
          </w:hyperlink>
        </w:p>
        <w:p w:rsidR="00280C0B" w:rsidRDefault="00BC19CE">
          <w:pPr>
            <w:pStyle w:val="TOC1"/>
            <w:rPr>
              <w:rFonts w:eastAsiaTheme="minorEastAsia"/>
              <w:noProof/>
            </w:rPr>
          </w:pPr>
          <w:hyperlink w:anchor="_Toc274745955" w:history="1">
            <w:r w:rsidR="00280C0B" w:rsidRPr="009E6E2C">
              <w:rPr>
                <w:rStyle w:val="Hyperlink"/>
                <w:noProof/>
              </w:rPr>
              <w:t>III.</w:t>
            </w:r>
            <w:r w:rsidR="00280C0B">
              <w:rPr>
                <w:rFonts w:eastAsiaTheme="minorEastAsia"/>
                <w:noProof/>
              </w:rPr>
              <w:tab/>
            </w:r>
            <w:r w:rsidR="00280C0B" w:rsidRPr="009E6E2C">
              <w:rPr>
                <w:rStyle w:val="Hyperlink"/>
                <w:noProof/>
              </w:rPr>
              <w:t>Injection BPM Position Gating and Sampling</w:t>
            </w:r>
            <w:r w:rsidR="00280C0B">
              <w:rPr>
                <w:noProof/>
                <w:webHidden/>
              </w:rPr>
              <w:tab/>
            </w:r>
            <w:r w:rsidR="00280C0B">
              <w:rPr>
                <w:noProof/>
                <w:webHidden/>
              </w:rPr>
              <w:fldChar w:fldCharType="begin"/>
            </w:r>
            <w:r w:rsidR="00280C0B">
              <w:rPr>
                <w:noProof/>
                <w:webHidden/>
              </w:rPr>
              <w:instrText xml:space="preserve"> PAGEREF _Toc274745955 \h </w:instrText>
            </w:r>
            <w:r w:rsidR="00280C0B">
              <w:rPr>
                <w:noProof/>
                <w:webHidden/>
              </w:rPr>
            </w:r>
            <w:r w:rsidR="00280C0B">
              <w:rPr>
                <w:noProof/>
                <w:webHidden/>
              </w:rPr>
              <w:fldChar w:fldCharType="separate"/>
            </w:r>
            <w:r>
              <w:rPr>
                <w:noProof/>
                <w:webHidden/>
              </w:rPr>
              <w:t>3</w:t>
            </w:r>
            <w:r w:rsidR="00280C0B">
              <w:rPr>
                <w:noProof/>
                <w:webHidden/>
              </w:rPr>
              <w:fldChar w:fldCharType="end"/>
            </w:r>
          </w:hyperlink>
        </w:p>
        <w:p w:rsidR="00280C0B" w:rsidRDefault="00BC19CE">
          <w:pPr>
            <w:pStyle w:val="TOC1"/>
            <w:rPr>
              <w:rFonts w:eastAsiaTheme="minorEastAsia"/>
              <w:noProof/>
            </w:rPr>
          </w:pPr>
          <w:hyperlink w:anchor="_Toc274745956" w:history="1">
            <w:r w:rsidR="00280C0B" w:rsidRPr="009E6E2C">
              <w:rPr>
                <w:rStyle w:val="Hyperlink"/>
                <w:noProof/>
              </w:rPr>
              <w:t>IV.</w:t>
            </w:r>
            <w:r w:rsidR="00280C0B">
              <w:rPr>
                <w:rFonts w:eastAsiaTheme="minorEastAsia"/>
                <w:noProof/>
              </w:rPr>
              <w:tab/>
            </w:r>
            <w:r w:rsidR="00280C0B" w:rsidRPr="009E6E2C">
              <w:rPr>
                <w:rStyle w:val="Hyperlink"/>
                <w:noProof/>
              </w:rPr>
              <w:t>Booster BPM Basics</w:t>
            </w:r>
            <w:r w:rsidR="00280C0B">
              <w:rPr>
                <w:noProof/>
                <w:webHidden/>
              </w:rPr>
              <w:tab/>
            </w:r>
            <w:r w:rsidR="00280C0B">
              <w:rPr>
                <w:noProof/>
                <w:webHidden/>
              </w:rPr>
              <w:fldChar w:fldCharType="begin"/>
            </w:r>
            <w:r w:rsidR="00280C0B">
              <w:rPr>
                <w:noProof/>
                <w:webHidden/>
              </w:rPr>
              <w:instrText xml:space="preserve"> PAGEREF _Toc274745956 \h </w:instrText>
            </w:r>
            <w:r w:rsidR="00280C0B">
              <w:rPr>
                <w:noProof/>
                <w:webHidden/>
              </w:rPr>
            </w:r>
            <w:r w:rsidR="00280C0B">
              <w:rPr>
                <w:noProof/>
                <w:webHidden/>
              </w:rPr>
              <w:fldChar w:fldCharType="separate"/>
            </w:r>
            <w:r>
              <w:rPr>
                <w:noProof/>
                <w:webHidden/>
              </w:rPr>
              <w:t>7</w:t>
            </w:r>
            <w:r w:rsidR="00280C0B">
              <w:rPr>
                <w:noProof/>
                <w:webHidden/>
              </w:rPr>
              <w:fldChar w:fldCharType="end"/>
            </w:r>
          </w:hyperlink>
        </w:p>
        <w:p w:rsidR="00280C0B" w:rsidRDefault="00BC19CE">
          <w:pPr>
            <w:pStyle w:val="TOC1"/>
            <w:rPr>
              <w:rFonts w:eastAsiaTheme="minorEastAsia"/>
              <w:noProof/>
            </w:rPr>
          </w:pPr>
          <w:hyperlink w:anchor="_Toc274745957" w:history="1">
            <w:r w:rsidR="00280C0B" w:rsidRPr="009E6E2C">
              <w:rPr>
                <w:rStyle w:val="Hyperlink"/>
                <w:noProof/>
              </w:rPr>
              <w:t>V.</w:t>
            </w:r>
            <w:r w:rsidR="00280C0B">
              <w:rPr>
                <w:rFonts w:eastAsiaTheme="minorEastAsia"/>
                <w:noProof/>
              </w:rPr>
              <w:tab/>
            </w:r>
            <w:r w:rsidR="00280C0B" w:rsidRPr="009E6E2C">
              <w:rPr>
                <w:rStyle w:val="Hyperlink"/>
                <w:noProof/>
              </w:rPr>
              <w:t>Booster BPM Turn by Turn Gating and Sampling</w:t>
            </w:r>
            <w:r w:rsidR="00280C0B">
              <w:rPr>
                <w:noProof/>
                <w:webHidden/>
              </w:rPr>
              <w:tab/>
            </w:r>
            <w:r w:rsidR="00280C0B">
              <w:rPr>
                <w:noProof/>
                <w:webHidden/>
              </w:rPr>
              <w:fldChar w:fldCharType="begin"/>
            </w:r>
            <w:r w:rsidR="00280C0B">
              <w:rPr>
                <w:noProof/>
                <w:webHidden/>
              </w:rPr>
              <w:instrText xml:space="preserve"> PAGEREF _Toc274745957 \h </w:instrText>
            </w:r>
            <w:r w:rsidR="00280C0B">
              <w:rPr>
                <w:noProof/>
                <w:webHidden/>
              </w:rPr>
            </w:r>
            <w:r w:rsidR="00280C0B">
              <w:rPr>
                <w:noProof/>
                <w:webHidden/>
              </w:rPr>
              <w:fldChar w:fldCharType="separate"/>
            </w:r>
            <w:r>
              <w:rPr>
                <w:noProof/>
                <w:webHidden/>
              </w:rPr>
              <w:t>7</w:t>
            </w:r>
            <w:r w:rsidR="00280C0B">
              <w:rPr>
                <w:noProof/>
                <w:webHidden/>
              </w:rPr>
              <w:fldChar w:fldCharType="end"/>
            </w:r>
          </w:hyperlink>
        </w:p>
        <w:p w:rsidR="00280C0B" w:rsidRDefault="00BC19CE">
          <w:pPr>
            <w:pStyle w:val="TOC1"/>
            <w:rPr>
              <w:rFonts w:eastAsiaTheme="minorEastAsia"/>
              <w:noProof/>
            </w:rPr>
          </w:pPr>
          <w:hyperlink w:anchor="_Toc274745958" w:history="1">
            <w:r w:rsidR="00280C0B" w:rsidRPr="009E6E2C">
              <w:rPr>
                <w:rStyle w:val="Hyperlink"/>
                <w:noProof/>
              </w:rPr>
              <w:t>VI.</w:t>
            </w:r>
            <w:r w:rsidR="00280C0B">
              <w:rPr>
                <w:rFonts w:eastAsiaTheme="minorEastAsia"/>
                <w:noProof/>
              </w:rPr>
              <w:tab/>
            </w:r>
            <w:r w:rsidR="00280C0B" w:rsidRPr="009E6E2C">
              <w:rPr>
                <w:rStyle w:val="Hyperlink"/>
                <w:noProof/>
              </w:rPr>
              <w:t>BPM Cabling and Signal Distribution</w:t>
            </w:r>
            <w:r w:rsidR="00280C0B">
              <w:rPr>
                <w:noProof/>
                <w:webHidden/>
              </w:rPr>
              <w:tab/>
            </w:r>
            <w:r w:rsidR="00280C0B">
              <w:rPr>
                <w:noProof/>
                <w:webHidden/>
              </w:rPr>
              <w:fldChar w:fldCharType="begin"/>
            </w:r>
            <w:r w:rsidR="00280C0B">
              <w:rPr>
                <w:noProof/>
                <w:webHidden/>
              </w:rPr>
              <w:instrText xml:space="preserve"> PAGEREF _Toc274745958 \h </w:instrText>
            </w:r>
            <w:r w:rsidR="00280C0B">
              <w:rPr>
                <w:noProof/>
                <w:webHidden/>
              </w:rPr>
            </w:r>
            <w:r w:rsidR="00280C0B">
              <w:rPr>
                <w:noProof/>
                <w:webHidden/>
              </w:rPr>
              <w:fldChar w:fldCharType="separate"/>
            </w:r>
            <w:r>
              <w:rPr>
                <w:noProof/>
                <w:webHidden/>
              </w:rPr>
              <w:t>9</w:t>
            </w:r>
            <w:r w:rsidR="00280C0B">
              <w:rPr>
                <w:noProof/>
                <w:webHidden/>
              </w:rPr>
              <w:fldChar w:fldCharType="end"/>
            </w:r>
          </w:hyperlink>
        </w:p>
        <w:p w:rsidR="00280C0B" w:rsidRDefault="00BC19CE">
          <w:pPr>
            <w:pStyle w:val="TOC1"/>
            <w:rPr>
              <w:rFonts w:eastAsiaTheme="minorEastAsia"/>
              <w:noProof/>
            </w:rPr>
          </w:pPr>
          <w:hyperlink w:anchor="_Toc274745959" w:history="1">
            <w:r w:rsidR="00280C0B" w:rsidRPr="009E6E2C">
              <w:rPr>
                <w:rStyle w:val="Hyperlink"/>
                <w:noProof/>
              </w:rPr>
              <w:t>Appendix A: Booster BPM Cable Listing</w:t>
            </w:r>
            <w:r w:rsidR="00280C0B">
              <w:rPr>
                <w:noProof/>
                <w:webHidden/>
              </w:rPr>
              <w:tab/>
            </w:r>
            <w:r w:rsidR="00280C0B">
              <w:rPr>
                <w:noProof/>
                <w:webHidden/>
              </w:rPr>
              <w:fldChar w:fldCharType="begin"/>
            </w:r>
            <w:r w:rsidR="00280C0B">
              <w:rPr>
                <w:noProof/>
                <w:webHidden/>
              </w:rPr>
              <w:instrText xml:space="preserve"> PAGEREF _Toc274745959 \h </w:instrText>
            </w:r>
            <w:r w:rsidR="00280C0B">
              <w:rPr>
                <w:noProof/>
                <w:webHidden/>
              </w:rPr>
            </w:r>
            <w:r w:rsidR="00280C0B">
              <w:rPr>
                <w:noProof/>
                <w:webHidden/>
              </w:rPr>
              <w:fldChar w:fldCharType="separate"/>
            </w:r>
            <w:r>
              <w:rPr>
                <w:noProof/>
                <w:webHidden/>
              </w:rPr>
              <w:t>14</w:t>
            </w:r>
            <w:r w:rsidR="00280C0B">
              <w:rPr>
                <w:noProof/>
                <w:webHidden/>
              </w:rPr>
              <w:fldChar w:fldCharType="end"/>
            </w:r>
          </w:hyperlink>
        </w:p>
        <w:p w:rsidR="00280C0B" w:rsidRDefault="00BC19CE">
          <w:pPr>
            <w:pStyle w:val="TOC1"/>
            <w:rPr>
              <w:rFonts w:eastAsiaTheme="minorEastAsia"/>
              <w:noProof/>
            </w:rPr>
          </w:pPr>
          <w:hyperlink w:anchor="_Toc274745960" w:history="1">
            <w:r w:rsidR="00280C0B" w:rsidRPr="009E6E2C">
              <w:rPr>
                <w:rStyle w:val="Hyperlink"/>
                <w:noProof/>
              </w:rPr>
              <w:t>Appendix B: Booster BPM Electronics Listing</w:t>
            </w:r>
            <w:r w:rsidR="00280C0B">
              <w:rPr>
                <w:noProof/>
                <w:webHidden/>
              </w:rPr>
              <w:tab/>
            </w:r>
            <w:r w:rsidR="00280C0B">
              <w:rPr>
                <w:noProof/>
                <w:webHidden/>
              </w:rPr>
              <w:fldChar w:fldCharType="begin"/>
            </w:r>
            <w:r w:rsidR="00280C0B">
              <w:rPr>
                <w:noProof/>
                <w:webHidden/>
              </w:rPr>
              <w:instrText xml:space="preserve"> PAGEREF _Toc274745960 \h </w:instrText>
            </w:r>
            <w:r w:rsidR="00280C0B">
              <w:rPr>
                <w:noProof/>
                <w:webHidden/>
              </w:rPr>
            </w:r>
            <w:r w:rsidR="00280C0B">
              <w:rPr>
                <w:noProof/>
                <w:webHidden/>
              </w:rPr>
              <w:fldChar w:fldCharType="separate"/>
            </w:r>
            <w:r>
              <w:rPr>
                <w:noProof/>
                <w:webHidden/>
              </w:rPr>
              <w:t>19</w:t>
            </w:r>
            <w:r w:rsidR="00280C0B">
              <w:rPr>
                <w:noProof/>
                <w:webHidden/>
              </w:rPr>
              <w:fldChar w:fldCharType="end"/>
            </w:r>
          </w:hyperlink>
        </w:p>
        <w:p w:rsidR="005D7E11" w:rsidRDefault="005D7E11">
          <w:r>
            <w:fldChar w:fldCharType="end"/>
          </w:r>
        </w:p>
      </w:sdtContent>
    </w:sdt>
    <w:p w:rsidR="00502BB1" w:rsidRDefault="005D7E11" w:rsidP="005D7E11">
      <w:pPr>
        <w:pStyle w:val="TOCStyle"/>
      </w:pPr>
      <w:r>
        <w:t>Table of Figures</w:t>
      </w:r>
    </w:p>
    <w:p w:rsidR="005D7E11" w:rsidRDefault="005D7E11" w:rsidP="005D7E11">
      <w:pPr>
        <w:pStyle w:val="TableofFigures"/>
        <w:tabs>
          <w:tab w:val="right" w:leader="dot" w:pos="9350"/>
        </w:tabs>
        <w:rPr>
          <w:rFonts w:eastAsiaTheme="minorEastAsia"/>
          <w:noProof/>
        </w:rPr>
      </w:pPr>
      <w:r>
        <w:fldChar w:fldCharType="begin"/>
      </w:r>
      <w:r>
        <w:instrText xml:space="preserve"> TOC \h \z \t "Figure1" \c </w:instrText>
      </w:r>
      <w:r>
        <w:fldChar w:fldCharType="separate"/>
      </w:r>
      <w:hyperlink w:anchor="_Toc274743546" w:history="1">
        <w:r w:rsidRPr="00C542FE">
          <w:rPr>
            <w:rStyle w:val="Hyperlink"/>
            <w:noProof/>
          </w:rPr>
          <w:t>Figure II.1 400 MeV beam line BPM’s</w:t>
        </w:r>
        <w:r>
          <w:rPr>
            <w:noProof/>
            <w:webHidden/>
          </w:rPr>
          <w:tab/>
        </w:r>
        <w:r>
          <w:rPr>
            <w:noProof/>
            <w:webHidden/>
          </w:rPr>
          <w:fldChar w:fldCharType="begin"/>
        </w:r>
        <w:r>
          <w:rPr>
            <w:noProof/>
            <w:webHidden/>
          </w:rPr>
          <w:instrText xml:space="preserve"> PAGEREF _Toc274743546 \h </w:instrText>
        </w:r>
        <w:r>
          <w:rPr>
            <w:noProof/>
            <w:webHidden/>
          </w:rPr>
        </w:r>
        <w:r>
          <w:rPr>
            <w:noProof/>
            <w:webHidden/>
          </w:rPr>
          <w:fldChar w:fldCharType="separate"/>
        </w:r>
        <w:r w:rsidR="00BC19CE">
          <w:rPr>
            <w:noProof/>
            <w:webHidden/>
          </w:rPr>
          <w:t>2</w:t>
        </w:r>
        <w:r>
          <w:rPr>
            <w:noProof/>
            <w:webHidden/>
          </w:rPr>
          <w:fldChar w:fldCharType="end"/>
        </w:r>
      </w:hyperlink>
    </w:p>
    <w:p w:rsidR="005D7E11" w:rsidRDefault="00BC19CE" w:rsidP="005D7E11">
      <w:pPr>
        <w:pStyle w:val="TableofFigures"/>
        <w:tabs>
          <w:tab w:val="right" w:leader="dot" w:pos="9350"/>
        </w:tabs>
        <w:spacing w:before="240"/>
        <w:rPr>
          <w:rFonts w:eastAsiaTheme="minorEastAsia"/>
          <w:noProof/>
        </w:rPr>
      </w:pPr>
      <w:hyperlink w:anchor="_Toc274743547" w:history="1">
        <w:r w:rsidR="005D7E11" w:rsidRPr="00C542FE">
          <w:rPr>
            <w:rStyle w:val="Hyperlink"/>
            <w:noProof/>
          </w:rPr>
          <w:t>Figure II.2 Booster Injection BPM’s</w:t>
        </w:r>
        <w:r w:rsidR="005D7E11">
          <w:rPr>
            <w:noProof/>
            <w:webHidden/>
          </w:rPr>
          <w:tab/>
        </w:r>
        <w:r w:rsidR="005D7E11">
          <w:rPr>
            <w:noProof/>
            <w:webHidden/>
          </w:rPr>
          <w:fldChar w:fldCharType="begin"/>
        </w:r>
        <w:r w:rsidR="005D7E11">
          <w:rPr>
            <w:noProof/>
            <w:webHidden/>
          </w:rPr>
          <w:instrText xml:space="preserve"> PAGEREF _Toc274743547 \h </w:instrText>
        </w:r>
        <w:r w:rsidR="005D7E11">
          <w:rPr>
            <w:noProof/>
            <w:webHidden/>
          </w:rPr>
        </w:r>
        <w:r w:rsidR="005D7E11">
          <w:rPr>
            <w:noProof/>
            <w:webHidden/>
          </w:rPr>
          <w:fldChar w:fldCharType="separate"/>
        </w:r>
        <w:r>
          <w:rPr>
            <w:noProof/>
            <w:webHidden/>
          </w:rPr>
          <w:t>3</w:t>
        </w:r>
        <w:r w:rsidR="005D7E11">
          <w:rPr>
            <w:noProof/>
            <w:webHidden/>
          </w:rPr>
          <w:fldChar w:fldCharType="end"/>
        </w:r>
      </w:hyperlink>
    </w:p>
    <w:p w:rsidR="005D7E11" w:rsidRDefault="00BC19CE" w:rsidP="005D7E11">
      <w:pPr>
        <w:pStyle w:val="TableofFigures"/>
        <w:tabs>
          <w:tab w:val="right" w:leader="dot" w:pos="9350"/>
        </w:tabs>
        <w:spacing w:before="240"/>
        <w:rPr>
          <w:rFonts w:eastAsiaTheme="minorEastAsia"/>
          <w:noProof/>
        </w:rPr>
      </w:pPr>
      <w:hyperlink w:anchor="_Toc274743548" w:history="1">
        <w:r w:rsidR="005D7E11" w:rsidRPr="00C542FE">
          <w:rPr>
            <w:rStyle w:val="Hyperlink"/>
            <w:noProof/>
          </w:rPr>
          <w:t>Figure III.1 Block Diagram of the generation of the Chopper control and BPM gating signals</w:t>
        </w:r>
        <w:r w:rsidR="005D7E11">
          <w:rPr>
            <w:noProof/>
            <w:webHidden/>
          </w:rPr>
          <w:tab/>
        </w:r>
        <w:r w:rsidR="005D7E11">
          <w:rPr>
            <w:noProof/>
            <w:webHidden/>
          </w:rPr>
          <w:fldChar w:fldCharType="begin"/>
        </w:r>
        <w:r w:rsidR="005D7E11">
          <w:rPr>
            <w:noProof/>
            <w:webHidden/>
          </w:rPr>
          <w:instrText xml:space="preserve"> PAGEREF _Toc274743548 \h </w:instrText>
        </w:r>
        <w:r w:rsidR="005D7E11">
          <w:rPr>
            <w:noProof/>
            <w:webHidden/>
          </w:rPr>
        </w:r>
        <w:r w:rsidR="005D7E11">
          <w:rPr>
            <w:noProof/>
            <w:webHidden/>
          </w:rPr>
          <w:fldChar w:fldCharType="separate"/>
        </w:r>
        <w:r>
          <w:rPr>
            <w:noProof/>
            <w:webHidden/>
          </w:rPr>
          <w:t>4</w:t>
        </w:r>
        <w:r w:rsidR="005D7E11">
          <w:rPr>
            <w:noProof/>
            <w:webHidden/>
          </w:rPr>
          <w:fldChar w:fldCharType="end"/>
        </w:r>
      </w:hyperlink>
    </w:p>
    <w:p w:rsidR="005D7E11" w:rsidRDefault="00BC19CE" w:rsidP="005D7E11">
      <w:pPr>
        <w:pStyle w:val="TableofFigures"/>
        <w:tabs>
          <w:tab w:val="right" w:leader="dot" w:pos="9350"/>
        </w:tabs>
        <w:spacing w:before="240"/>
        <w:rPr>
          <w:rFonts w:eastAsiaTheme="minorEastAsia"/>
          <w:noProof/>
        </w:rPr>
      </w:pPr>
      <w:hyperlink w:anchor="_Toc274743549" w:history="1">
        <w:r w:rsidR="005D7E11" w:rsidRPr="00C542FE">
          <w:rPr>
            <w:rStyle w:val="Hyperlink"/>
            <w:noProof/>
          </w:rPr>
          <w:t>Figure III.2 Timing Diagram of the Chopper control and BPM gating signals</w:t>
        </w:r>
        <w:r w:rsidR="005D7E11">
          <w:rPr>
            <w:noProof/>
            <w:webHidden/>
          </w:rPr>
          <w:tab/>
        </w:r>
        <w:r w:rsidR="005D7E11">
          <w:rPr>
            <w:noProof/>
            <w:webHidden/>
          </w:rPr>
          <w:fldChar w:fldCharType="begin"/>
        </w:r>
        <w:r w:rsidR="005D7E11">
          <w:rPr>
            <w:noProof/>
            <w:webHidden/>
          </w:rPr>
          <w:instrText xml:space="preserve"> PAGEREF _Toc274743549 \h </w:instrText>
        </w:r>
        <w:r w:rsidR="005D7E11">
          <w:rPr>
            <w:noProof/>
            <w:webHidden/>
          </w:rPr>
        </w:r>
        <w:r w:rsidR="005D7E11">
          <w:rPr>
            <w:noProof/>
            <w:webHidden/>
          </w:rPr>
          <w:fldChar w:fldCharType="separate"/>
        </w:r>
        <w:r>
          <w:rPr>
            <w:noProof/>
            <w:webHidden/>
          </w:rPr>
          <w:t>5</w:t>
        </w:r>
        <w:r w:rsidR="005D7E11">
          <w:rPr>
            <w:noProof/>
            <w:webHidden/>
          </w:rPr>
          <w:fldChar w:fldCharType="end"/>
        </w:r>
      </w:hyperlink>
    </w:p>
    <w:p w:rsidR="005D7E11" w:rsidRDefault="00BC19CE" w:rsidP="005D7E11">
      <w:pPr>
        <w:pStyle w:val="TableofFigures"/>
        <w:tabs>
          <w:tab w:val="right" w:leader="dot" w:pos="9350"/>
        </w:tabs>
        <w:spacing w:before="240"/>
        <w:rPr>
          <w:rFonts w:eastAsiaTheme="minorEastAsia"/>
          <w:noProof/>
        </w:rPr>
      </w:pPr>
      <w:hyperlink w:anchor="_Toc274743550" w:history="1">
        <w:r w:rsidR="005D7E11" w:rsidRPr="00C542FE">
          <w:rPr>
            <w:rStyle w:val="Hyperlink"/>
            <w:noProof/>
          </w:rPr>
          <w:t>Figure V.1 Simplified block diagram of the Daughter Trigger Generator chassis.</w:t>
        </w:r>
        <w:r w:rsidR="005D7E11">
          <w:rPr>
            <w:noProof/>
            <w:webHidden/>
          </w:rPr>
          <w:tab/>
        </w:r>
        <w:r w:rsidR="005D7E11">
          <w:rPr>
            <w:noProof/>
            <w:webHidden/>
          </w:rPr>
          <w:fldChar w:fldCharType="begin"/>
        </w:r>
        <w:r w:rsidR="005D7E11">
          <w:rPr>
            <w:noProof/>
            <w:webHidden/>
          </w:rPr>
          <w:instrText xml:space="preserve"> PAGEREF _Toc274743550 \h </w:instrText>
        </w:r>
        <w:r w:rsidR="005D7E11">
          <w:rPr>
            <w:noProof/>
            <w:webHidden/>
          </w:rPr>
        </w:r>
        <w:r w:rsidR="005D7E11">
          <w:rPr>
            <w:noProof/>
            <w:webHidden/>
          </w:rPr>
          <w:fldChar w:fldCharType="separate"/>
        </w:r>
        <w:r>
          <w:rPr>
            <w:noProof/>
            <w:webHidden/>
          </w:rPr>
          <w:t>9</w:t>
        </w:r>
        <w:r w:rsidR="005D7E11">
          <w:rPr>
            <w:noProof/>
            <w:webHidden/>
          </w:rPr>
          <w:fldChar w:fldCharType="end"/>
        </w:r>
      </w:hyperlink>
    </w:p>
    <w:p w:rsidR="005D7E11" w:rsidRDefault="00BC19CE" w:rsidP="005D7E11">
      <w:pPr>
        <w:pStyle w:val="TableofFigures"/>
        <w:tabs>
          <w:tab w:val="right" w:leader="dot" w:pos="9350"/>
        </w:tabs>
        <w:spacing w:before="240"/>
        <w:rPr>
          <w:rFonts w:eastAsiaTheme="minorEastAsia"/>
          <w:noProof/>
        </w:rPr>
      </w:pPr>
      <w:hyperlink w:anchor="_Toc274743551" w:history="1">
        <w:r w:rsidR="005D7E11" w:rsidRPr="00C542FE">
          <w:rPr>
            <w:rStyle w:val="Hyperlink"/>
            <w:noProof/>
          </w:rPr>
          <w:t>Figure VI.1 Illustration of the routing of the Booster RF Reference signal.</w:t>
        </w:r>
        <w:r w:rsidR="005D7E11">
          <w:rPr>
            <w:noProof/>
            <w:webHidden/>
          </w:rPr>
          <w:tab/>
        </w:r>
        <w:r w:rsidR="005D7E11">
          <w:rPr>
            <w:noProof/>
            <w:webHidden/>
          </w:rPr>
          <w:fldChar w:fldCharType="begin"/>
        </w:r>
        <w:r w:rsidR="005D7E11">
          <w:rPr>
            <w:noProof/>
            <w:webHidden/>
          </w:rPr>
          <w:instrText xml:space="preserve"> PAGEREF _Toc274743551 \h </w:instrText>
        </w:r>
        <w:r w:rsidR="005D7E11">
          <w:rPr>
            <w:noProof/>
            <w:webHidden/>
          </w:rPr>
        </w:r>
        <w:r w:rsidR="005D7E11">
          <w:rPr>
            <w:noProof/>
            <w:webHidden/>
          </w:rPr>
          <w:fldChar w:fldCharType="separate"/>
        </w:r>
        <w:r>
          <w:rPr>
            <w:noProof/>
            <w:webHidden/>
          </w:rPr>
          <w:t>11</w:t>
        </w:r>
        <w:r w:rsidR="005D7E11">
          <w:rPr>
            <w:noProof/>
            <w:webHidden/>
          </w:rPr>
          <w:fldChar w:fldCharType="end"/>
        </w:r>
      </w:hyperlink>
    </w:p>
    <w:p w:rsidR="005D7E11" w:rsidRDefault="00BC19CE" w:rsidP="005D7E11">
      <w:pPr>
        <w:pStyle w:val="TableofFigures"/>
        <w:tabs>
          <w:tab w:val="right" w:leader="dot" w:pos="9350"/>
        </w:tabs>
        <w:spacing w:before="240"/>
        <w:rPr>
          <w:rFonts w:eastAsiaTheme="minorEastAsia"/>
          <w:noProof/>
        </w:rPr>
      </w:pPr>
      <w:hyperlink w:anchor="_Toc274743552" w:history="1">
        <w:r w:rsidR="005D7E11" w:rsidRPr="00C542FE">
          <w:rPr>
            <w:rStyle w:val="Hyperlink"/>
            <w:noProof/>
          </w:rPr>
          <w:t>Figure VI.2 Illustration of the BPM local oscillator distribution</w:t>
        </w:r>
        <w:r w:rsidR="005D7E11">
          <w:rPr>
            <w:noProof/>
            <w:webHidden/>
          </w:rPr>
          <w:tab/>
        </w:r>
        <w:r w:rsidR="005D7E11">
          <w:rPr>
            <w:noProof/>
            <w:webHidden/>
          </w:rPr>
          <w:fldChar w:fldCharType="begin"/>
        </w:r>
        <w:r w:rsidR="005D7E11">
          <w:rPr>
            <w:noProof/>
            <w:webHidden/>
          </w:rPr>
          <w:instrText xml:space="preserve"> PAGEREF _Toc274743552 \h </w:instrText>
        </w:r>
        <w:r w:rsidR="005D7E11">
          <w:rPr>
            <w:noProof/>
            <w:webHidden/>
          </w:rPr>
        </w:r>
        <w:r w:rsidR="005D7E11">
          <w:rPr>
            <w:noProof/>
            <w:webHidden/>
          </w:rPr>
          <w:fldChar w:fldCharType="separate"/>
        </w:r>
        <w:r>
          <w:rPr>
            <w:noProof/>
            <w:webHidden/>
          </w:rPr>
          <w:t>12</w:t>
        </w:r>
        <w:r w:rsidR="005D7E11">
          <w:rPr>
            <w:noProof/>
            <w:webHidden/>
          </w:rPr>
          <w:fldChar w:fldCharType="end"/>
        </w:r>
      </w:hyperlink>
    </w:p>
    <w:p w:rsidR="005D7E11" w:rsidRDefault="00BC19CE" w:rsidP="005D7E11">
      <w:pPr>
        <w:pStyle w:val="TableofFigures"/>
        <w:tabs>
          <w:tab w:val="right" w:leader="dot" w:pos="9350"/>
        </w:tabs>
        <w:spacing w:before="240"/>
        <w:rPr>
          <w:rFonts w:eastAsiaTheme="minorEastAsia"/>
          <w:noProof/>
        </w:rPr>
      </w:pPr>
      <w:hyperlink w:anchor="_Toc274743553" w:history="1">
        <w:r w:rsidR="005D7E11" w:rsidRPr="00C542FE">
          <w:rPr>
            <w:rStyle w:val="Hyperlink"/>
            <w:noProof/>
          </w:rPr>
          <w:t>Figure VI.3 Illustration of the Injection Sync trigger distribution</w:t>
        </w:r>
        <w:r w:rsidR="005D7E11">
          <w:rPr>
            <w:noProof/>
            <w:webHidden/>
          </w:rPr>
          <w:tab/>
        </w:r>
        <w:r w:rsidR="005D7E11">
          <w:rPr>
            <w:noProof/>
            <w:webHidden/>
          </w:rPr>
          <w:fldChar w:fldCharType="begin"/>
        </w:r>
        <w:r w:rsidR="005D7E11">
          <w:rPr>
            <w:noProof/>
            <w:webHidden/>
          </w:rPr>
          <w:instrText xml:space="preserve"> PAGEREF _Toc274743553 \h </w:instrText>
        </w:r>
        <w:r w:rsidR="005D7E11">
          <w:rPr>
            <w:noProof/>
            <w:webHidden/>
          </w:rPr>
        </w:r>
        <w:r w:rsidR="005D7E11">
          <w:rPr>
            <w:noProof/>
            <w:webHidden/>
          </w:rPr>
          <w:fldChar w:fldCharType="separate"/>
        </w:r>
        <w:r>
          <w:rPr>
            <w:noProof/>
            <w:webHidden/>
          </w:rPr>
          <w:t>13</w:t>
        </w:r>
        <w:r w:rsidR="005D7E11">
          <w:rPr>
            <w:noProof/>
            <w:webHidden/>
          </w:rPr>
          <w:fldChar w:fldCharType="end"/>
        </w:r>
      </w:hyperlink>
    </w:p>
    <w:p w:rsidR="005D7E11" w:rsidRDefault="005D7E11" w:rsidP="005D7E11">
      <w:pPr>
        <w:spacing w:before="240"/>
      </w:pPr>
      <w:r>
        <w:fldChar w:fldCharType="end"/>
      </w:r>
    </w:p>
    <w:p w:rsidR="00502BB1" w:rsidRDefault="00502BB1"/>
    <w:p w:rsidR="00502BB1" w:rsidRDefault="00502BB1">
      <w:pPr>
        <w:sectPr w:rsidR="00502BB1" w:rsidSect="00502BB1">
          <w:footerReference w:type="default" r:id="rId9"/>
          <w:pgSz w:w="12240" w:h="15840"/>
          <w:pgMar w:top="1440" w:right="1440" w:bottom="1440" w:left="1440" w:header="720" w:footer="720" w:gutter="0"/>
          <w:pgNumType w:fmt="lowerRoman"/>
          <w:cols w:space="720"/>
          <w:titlePg/>
          <w:docGrid w:linePitch="360"/>
        </w:sectPr>
      </w:pPr>
    </w:p>
    <w:p w:rsidR="00502BB1" w:rsidRDefault="00502BB1"/>
    <w:p w:rsidR="00731631" w:rsidRDefault="009E2FB2" w:rsidP="009E2FB2">
      <w:pPr>
        <w:pStyle w:val="Heading1"/>
      </w:pPr>
      <w:bookmarkStart w:id="0" w:name="_Toc274745953"/>
      <w:r>
        <w:t>Beam Delivery from the Linac to the Booster</w:t>
      </w:r>
      <w:bookmarkEnd w:id="0"/>
    </w:p>
    <w:p w:rsidR="0097788B" w:rsidRDefault="003975CB" w:rsidP="009E2FB2">
      <w:r>
        <w:t xml:space="preserve">Beam accelerated in the Linac is switched into the 400 MeV line, on its way to the Booster by the combination of the </w:t>
      </w:r>
      <w:r w:rsidR="00EA3CC8">
        <w:t xml:space="preserve">400 MeV </w:t>
      </w:r>
      <w:r>
        <w:t xml:space="preserve">Chopper </w:t>
      </w:r>
      <w:r w:rsidR="001F3E46">
        <w:t xml:space="preserve">and a Lambertson magnet.  </w:t>
      </w:r>
      <w:r w:rsidR="0097788B">
        <w:t>A Chopper is a pair of metallic plate</w:t>
      </w:r>
      <w:r w:rsidR="00FC354F">
        <w:t>s</w:t>
      </w:r>
      <w:r w:rsidR="0097788B">
        <w:t xml:space="preserve">, one on either side of the beam aperture, between which an electric field is created to bend the particle beam </w:t>
      </w:r>
      <w:r w:rsidR="00FC354F">
        <w:t>from</w:t>
      </w:r>
      <w:r w:rsidR="0097788B">
        <w:t xml:space="preserve"> its </w:t>
      </w:r>
      <w:r w:rsidR="00FC354F">
        <w:t xml:space="preserve">initial </w:t>
      </w:r>
      <w:r w:rsidR="0097788B">
        <w:t>trajectory</w:t>
      </w:r>
      <w:r w:rsidR="00FC354F">
        <w:t>, towards the beam dump</w:t>
      </w:r>
      <w:r w:rsidR="0097788B">
        <w:t>.   The Lambertson magnet has two apertures.  One aperture is simply a hole, the other contains a beam bending dipole field.  Initially the Chopper plates are both energized to approximately 5</w:t>
      </w:r>
      <w:r w:rsidR="00D01881">
        <w:t>5</w:t>
      </w:r>
      <w:r w:rsidR="0097788B">
        <w:t xml:space="preserve"> kV.  The electric field is created when one of the plates</w:t>
      </w:r>
      <w:r w:rsidR="008367B9">
        <w:t xml:space="preserve"> is shorted to ground creating a sudden </w:t>
      </w:r>
      <w:r w:rsidR="00D01881">
        <w:t>difference in potential between the pair.</w:t>
      </w:r>
      <w:r w:rsidR="0097788B">
        <w:t xml:space="preserve"> </w:t>
      </w:r>
      <w:r w:rsidR="00D01881">
        <w:t xml:space="preserve">  Beam is bent into the dipole aperture of the Lambertson</w:t>
      </w:r>
      <w:r w:rsidR="00FC354F">
        <w:t xml:space="preserve"> which</w:t>
      </w:r>
      <w:r w:rsidR="00D01881">
        <w:t xml:space="preserve"> further direct</w:t>
      </w:r>
      <w:r w:rsidR="00FC354F">
        <w:t xml:space="preserve"> the beam</w:t>
      </w:r>
      <w:r w:rsidR="00D01881">
        <w:t xml:space="preserve"> into the 400 MeV beam line. </w:t>
      </w:r>
      <w:r w:rsidR="00D01881" w:rsidRPr="00D01881">
        <w:t xml:space="preserve"> </w:t>
      </w:r>
      <w:r w:rsidR="00D01881">
        <w:t xml:space="preserve">The signal which triggers the creation of the chopper’s electric field is “Chop On”.  When the Booster has received as much beam from the Linac as it needs, beam is removed from the 400 MeV line by grounding the other plate of the Chopper, removing the difference in potential between the plates and </w:t>
      </w:r>
      <w:r w:rsidR="00FC354F">
        <w:t xml:space="preserve">removing </w:t>
      </w:r>
      <w:r w:rsidR="00D01881">
        <w:t xml:space="preserve">the electric field.  The signal that triggers this is “400 MeV Chop Off”.  </w:t>
      </w:r>
    </w:p>
    <w:p w:rsidR="00D01881" w:rsidRDefault="00D01881" w:rsidP="009E2FB2">
      <w:r>
        <w:t xml:space="preserve">There is also a similar chopper at the output of </w:t>
      </w:r>
      <w:r w:rsidR="00FC354F">
        <w:t xml:space="preserve">each of </w:t>
      </w:r>
      <w:r>
        <w:t>the Cock</w:t>
      </w:r>
      <w:r w:rsidR="00FC354F">
        <w:t>c</w:t>
      </w:r>
      <w:r>
        <w:t>roft</w:t>
      </w:r>
      <w:r w:rsidR="00FC354F">
        <w:t>-Walton Generators.  These are referred to as the 750 keV Choppers.   Another signal from the Booster, “750 keV Chop Off” is used terminate the flow of beam into the Linac just before “400 MeV Chop Off” triggers.</w:t>
      </w:r>
      <w:r w:rsidR="00A907F4">
        <w:t xml:space="preserve">  This precludes the accelerator from accelerating beam it is not going to send to the Booster, beam that would be directed into the dump and into the metal separating the two apertures of the Lambertson magnet.</w:t>
      </w:r>
    </w:p>
    <w:p w:rsidR="009E2FB2" w:rsidRDefault="00FC354F" w:rsidP="009E2FB2">
      <w:r>
        <w:t>It is also worth noting that b</w:t>
      </w:r>
      <w:r w:rsidR="00D01881">
        <w:t>efore the occurrence of Chop On, t</w:t>
      </w:r>
      <w:r w:rsidR="001F3E46">
        <w:t xml:space="preserve">he first 2 microseconds of Linac beam is allowed to pass on to the dump giving the Linac RF servo loops time to settle </w:t>
      </w:r>
      <w:r>
        <w:t>to a</w:t>
      </w:r>
      <w:r w:rsidR="001F3E46">
        <w:t xml:space="preserve"> more s</w:t>
      </w:r>
      <w:r w:rsidR="00D01881">
        <w:t xml:space="preserve">table beam. </w:t>
      </w:r>
    </w:p>
    <w:p w:rsidR="00560D4D" w:rsidRDefault="00560D4D" w:rsidP="00560D4D">
      <w:pPr>
        <w:pStyle w:val="Heading1"/>
      </w:pPr>
      <w:bookmarkStart w:id="1" w:name="_Toc274745954"/>
      <w:r>
        <w:t>200 MHz Beam Position Monitors</w:t>
      </w:r>
      <w:bookmarkEnd w:id="1"/>
    </w:p>
    <w:p w:rsidR="00BC19CE" w:rsidRDefault="00560D4D" w:rsidP="00560D4D">
      <w:r>
        <w:t xml:space="preserve">Beam coming out of the Linac, through the 400 MeV beam line, into the Booster has a 200 MHz bunch structure.  </w:t>
      </w:r>
      <w:r w:rsidR="00BC19CE">
        <w:t xml:space="preserve">In 2012 new BPM data acquisition modules were designed, built and installed in the Linac and the 400 MeV beam line.  </w:t>
      </w:r>
    </w:p>
    <w:p w:rsidR="00BC19CE" w:rsidRDefault="00BC19CE" w:rsidP="00560D4D">
      <w:r>
        <w:t>Additionally there are 5 BPM’s (10 positions , horizontal and vertical) that are important for seeing the beam position as it is injected into the Booster at Booster period 1.  Since these BPMs are used to measure beam position at both injection, when the beam has a 200 MHz structure, and during the Booster acceleration cycle when the structure of the beam sweeps in frequency from 37.9 MHz to 52.8 MHz, the detector signals are split and routed to both the 200 MHz Linac style BPM Modules and the Booster RF Modules.</w:t>
      </w:r>
    </w:p>
    <w:p w:rsidR="00731631" w:rsidRDefault="004C1798">
      <w:r>
        <w:t>Figure II.1 shows the approximate location of the BPM’s in the 400 MeV beam line.  Figure II.2 shows the approximate location of the Booster injection BPM’s.  There are many more components such as magnets and vacuum pumps not included in the diagrams</w:t>
      </w:r>
      <w:r w:rsidR="009B02E5">
        <w:t>.</w:t>
      </w:r>
    </w:p>
    <w:p w:rsidR="006E0277" w:rsidRDefault="006E0277">
      <w:r>
        <w:rPr>
          <w:noProof/>
        </w:rPr>
        <w:lastRenderedPageBreak/>
        <w:drawing>
          <wp:inline distT="0" distB="0" distL="0" distR="0">
            <wp:extent cx="3806190" cy="7658672"/>
            <wp:effectExtent l="19050" t="0" r="3810" b="0"/>
            <wp:docPr id="4" name="Picture 3" descr="400 MeV Beam Position Monit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 MeV Beam Position Monitors.GIF"/>
                    <pic:cNvPicPr/>
                  </pic:nvPicPr>
                  <pic:blipFill>
                    <a:blip r:embed="rId10" cstate="print"/>
                    <a:stretch>
                      <a:fillRect/>
                    </a:stretch>
                  </pic:blipFill>
                  <pic:spPr>
                    <a:xfrm>
                      <a:off x="0" y="0"/>
                      <a:ext cx="3806190" cy="7658672"/>
                    </a:xfrm>
                    <a:prstGeom prst="rect">
                      <a:avLst/>
                    </a:prstGeom>
                  </pic:spPr>
                </pic:pic>
              </a:graphicData>
            </a:graphic>
          </wp:inline>
        </w:drawing>
      </w:r>
    </w:p>
    <w:p w:rsidR="006E0277" w:rsidRDefault="004C1798" w:rsidP="0047412D">
      <w:pPr>
        <w:pStyle w:val="Figure1"/>
      </w:pPr>
      <w:bookmarkStart w:id="2" w:name="_Toc274743546"/>
      <w:r>
        <w:t>Figure II.1 400 MeV beam line BPM’s</w:t>
      </w:r>
      <w:bookmarkEnd w:id="2"/>
    </w:p>
    <w:p w:rsidR="006E0277" w:rsidRDefault="006E0277"/>
    <w:p w:rsidR="00686B15" w:rsidRDefault="00686B15">
      <w:r>
        <w:rPr>
          <w:noProof/>
        </w:rPr>
        <w:drawing>
          <wp:inline distT="0" distB="0" distL="0" distR="0">
            <wp:extent cx="5943600" cy="2705100"/>
            <wp:effectExtent l="19050" t="0" r="0" b="0"/>
            <wp:docPr id="2" name="Picture 1" descr="Injection Beam Position Monit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jection Beam Position Monitors.GIF"/>
                    <pic:cNvPicPr/>
                  </pic:nvPicPr>
                  <pic:blipFill>
                    <a:blip r:embed="rId11" cstate="print"/>
                    <a:stretch>
                      <a:fillRect/>
                    </a:stretch>
                  </pic:blipFill>
                  <pic:spPr>
                    <a:xfrm>
                      <a:off x="0" y="0"/>
                      <a:ext cx="5943600" cy="2705100"/>
                    </a:xfrm>
                    <a:prstGeom prst="rect">
                      <a:avLst/>
                    </a:prstGeom>
                  </pic:spPr>
                </pic:pic>
              </a:graphicData>
            </a:graphic>
          </wp:inline>
        </w:drawing>
      </w:r>
    </w:p>
    <w:p w:rsidR="00686B15" w:rsidRDefault="004C1798" w:rsidP="0047412D">
      <w:pPr>
        <w:pStyle w:val="Figure1"/>
      </w:pPr>
      <w:bookmarkStart w:id="3" w:name="_Toc274743547"/>
      <w:r>
        <w:t>Figure II.2 Booster Injection BPM’s</w:t>
      </w:r>
      <w:bookmarkEnd w:id="3"/>
    </w:p>
    <w:p w:rsidR="00686B15" w:rsidRDefault="00686B15"/>
    <w:p w:rsidR="00EB6F14" w:rsidRDefault="00EB6F14" w:rsidP="00EB6F14">
      <w:pPr>
        <w:pStyle w:val="Heading1"/>
      </w:pPr>
      <w:r>
        <w:t>Chopper Control and Timing</w:t>
      </w:r>
    </w:p>
    <w:p w:rsidR="00EB6F14" w:rsidRDefault="00EB6F14" w:rsidP="00EB6F14">
      <w:r>
        <w:t xml:space="preserve">The </w:t>
      </w:r>
      <w:r>
        <w:t xml:space="preserve">timing that controls the Chopper magnets described in </w:t>
      </w:r>
      <w:r w:rsidR="00CD0D56">
        <w:t>Section I. is implemented with</w:t>
      </w:r>
      <w:r>
        <w:t xml:space="preserve"> a set of modules in racks LG1-RR4-2 in the West Booster Gallery.  There are four CAMAC modules that provide operator control of timing pulse inputs and delay variable settings.  There is an FPGA programmable logic circuit housed in a NIM module that takes the CAMAC inputs and the Booster RF reference clock, and generates the chopper control signals</w:t>
      </w:r>
      <w:r w:rsidR="00CD0D56">
        <w:t>.</w:t>
      </w:r>
    </w:p>
    <w:p w:rsidR="00EB6F14" w:rsidRDefault="00EB6F14" w:rsidP="00EB6F14">
      <w:r>
        <w:t>The block diagram in Figure III.1 shows how the logic in the Chopper Controller is laid out.  A timing diagram is given in Figure III.2.</w:t>
      </w:r>
    </w:p>
    <w:p w:rsidR="00EB6F14" w:rsidRDefault="00EB6F14" w:rsidP="00EB6F14">
      <w:r>
        <w:t xml:space="preserve">The Chop On input signal is synchronized to the Booster RF and then applied to 3 delay timers to produce 3 delayed chopper on signals.  </w:t>
      </w:r>
    </w:p>
    <w:p w:rsidR="00EB6F14" w:rsidRDefault="00EB6F14" w:rsidP="00EB6F14">
      <w:pPr>
        <w:pStyle w:val="ListParagraph"/>
        <w:numPr>
          <w:ilvl w:val="0"/>
          <w:numId w:val="1"/>
        </w:numPr>
      </w:pPr>
      <w:r>
        <w:rPr>
          <w:b/>
        </w:rPr>
        <w:t>CHOP ON SYNC</w:t>
      </w:r>
      <w:r w:rsidRPr="0033476A">
        <w:rPr>
          <w:b/>
        </w:rPr>
        <w:t>:</w:t>
      </w:r>
      <w:r>
        <w:t xml:space="preserve">  This is the reference for deriving the BPM gates and sampling clock.</w:t>
      </w:r>
    </w:p>
    <w:p w:rsidR="00EB6F14" w:rsidRDefault="00EB6F14" w:rsidP="00EB6F14">
      <w:pPr>
        <w:pStyle w:val="ListParagraph"/>
        <w:numPr>
          <w:ilvl w:val="0"/>
          <w:numId w:val="1"/>
        </w:numPr>
      </w:pPr>
      <w:r w:rsidRPr="0033476A">
        <w:rPr>
          <w:b/>
        </w:rPr>
        <w:t>DELAYED CHOP ON:</w:t>
      </w:r>
      <w:r>
        <w:t xml:space="preserve">  This is the reference for deriving CHOP OFF MEV (400 MeV Chop Off).</w:t>
      </w:r>
    </w:p>
    <w:p w:rsidR="00EB6F14" w:rsidRDefault="00EB6F14" w:rsidP="00EB6F14">
      <w:pPr>
        <w:pStyle w:val="ListParagraph"/>
        <w:numPr>
          <w:ilvl w:val="0"/>
          <w:numId w:val="1"/>
        </w:numPr>
      </w:pPr>
      <w:r w:rsidRPr="0033476A">
        <w:rPr>
          <w:b/>
        </w:rPr>
        <w:t>CHOP ON KEV:</w:t>
      </w:r>
      <w:r>
        <w:t xml:space="preserve">  This is the reference for deriving CHOP OFF KEV (750 </w:t>
      </w:r>
      <w:proofErr w:type="spellStart"/>
      <w:r>
        <w:t>keV</w:t>
      </w:r>
      <w:proofErr w:type="spellEnd"/>
      <w:r>
        <w:t xml:space="preserve"> Chop Off).</w:t>
      </w:r>
    </w:p>
    <w:p w:rsidR="00EB6F14" w:rsidRDefault="00CD0D56" w:rsidP="00EB6F14">
      <w:r>
        <w:t>Several outputs of this module had controlled the gating and sampling of an older BPM data acquisition system.  These signals are greyed-out in the figures.</w:t>
      </w:r>
    </w:p>
    <w:p w:rsidR="00EB6F14" w:rsidRDefault="00EB6F14"/>
    <w:p w:rsidR="00F148C7" w:rsidRDefault="00DB184F" w:rsidP="008A6B57">
      <w:r>
        <w:rPr>
          <w:noProof/>
        </w:rPr>
        <w:drawing>
          <wp:inline distT="0" distB="0" distL="0" distR="0">
            <wp:extent cx="4507992" cy="7891272"/>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pper-BPM Controller Block diagram.GIF"/>
                    <pic:cNvPicPr/>
                  </pic:nvPicPr>
                  <pic:blipFill>
                    <a:blip r:embed="rId12">
                      <a:extLst>
                        <a:ext uri="{28A0092B-C50C-407E-A947-70E740481C1C}">
                          <a14:useLocalDpi xmlns:a14="http://schemas.microsoft.com/office/drawing/2010/main" val="0"/>
                        </a:ext>
                      </a:extLst>
                    </a:blip>
                    <a:stretch>
                      <a:fillRect/>
                    </a:stretch>
                  </pic:blipFill>
                  <pic:spPr>
                    <a:xfrm>
                      <a:off x="0" y="0"/>
                      <a:ext cx="4507992" cy="7891272"/>
                    </a:xfrm>
                    <a:prstGeom prst="rect">
                      <a:avLst/>
                    </a:prstGeom>
                  </pic:spPr>
                </pic:pic>
              </a:graphicData>
            </a:graphic>
          </wp:inline>
        </w:drawing>
      </w:r>
    </w:p>
    <w:p w:rsidR="00DB184F" w:rsidRDefault="00202A77" w:rsidP="0047412D">
      <w:pPr>
        <w:pStyle w:val="Figure1"/>
      </w:pPr>
      <w:bookmarkStart w:id="4" w:name="_Toc274743548"/>
      <w:r>
        <w:t>Figure III.1 Block Diagram of the generation of the Chopper control and BPM gating signals</w:t>
      </w:r>
      <w:bookmarkEnd w:id="4"/>
    </w:p>
    <w:p w:rsidR="009A0331" w:rsidRDefault="009A0331" w:rsidP="004C1798">
      <w:r>
        <w:rPr>
          <w:noProof/>
        </w:rPr>
        <w:lastRenderedPageBreak/>
        <w:drawing>
          <wp:inline distT="0" distB="0" distL="0" distR="0">
            <wp:extent cx="4155684" cy="7761351"/>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pper-BPM Controller Timing diagram.GIF"/>
                    <pic:cNvPicPr/>
                  </pic:nvPicPr>
                  <pic:blipFill>
                    <a:blip r:embed="rId13">
                      <a:extLst>
                        <a:ext uri="{28A0092B-C50C-407E-A947-70E740481C1C}">
                          <a14:useLocalDpi xmlns:a14="http://schemas.microsoft.com/office/drawing/2010/main" val="0"/>
                        </a:ext>
                      </a:extLst>
                    </a:blip>
                    <a:stretch>
                      <a:fillRect/>
                    </a:stretch>
                  </pic:blipFill>
                  <pic:spPr>
                    <a:xfrm>
                      <a:off x="0" y="0"/>
                      <a:ext cx="4155684" cy="7761351"/>
                    </a:xfrm>
                    <a:prstGeom prst="rect">
                      <a:avLst/>
                    </a:prstGeom>
                  </pic:spPr>
                </pic:pic>
              </a:graphicData>
            </a:graphic>
          </wp:inline>
        </w:drawing>
      </w:r>
    </w:p>
    <w:p w:rsidR="009A0331" w:rsidRDefault="009A0331" w:rsidP="0047412D">
      <w:pPr>
        <w:pStyle w:val="Figure1"/>
      </w:pPr>
      <w:bookmarkStart w:id="5" w:name="_Toc274743549"/>
      <w:r>
        <w:t>Figure III.2 Timing Diagram of the Chopper control and BPM gating signals</w:t>
      </w:r>
      <w:bookmarkEnd w:id="5"/>
    </w:p>
    <w:p w:rsidR="00CD0D56" w:rsidRDefault="00CD0D56" w:rsidP="00BE7B5D">
      <w:pPr>
        <w:pStyle w:val="Heading1"/>
      </w:pPr>
      <w:bookmarkStart w:id="6" w:name="_Toc274745955"/>
      <w:r>
        <w:lastRenderedPageBreak/>
        <w:t>Injection BPM Position Gating and Sampling</w:t>
      </w:r>
      <w:bookmarkEnd w:id="6"/>
    </w:p>
    <w:p w:rsidR="00CD0D56" w:rsidRDefault="00CD0D56" w:rsidP="00CD0D56">
      <w:r>
        <w:t xml:space="preserve">When the 200 MHz beam BPM measurements were switched over to the newer Linac style BPM </w:t>
      </w:r>
      <w:r w:rsidR="00BE7B5D">
        <w:t>m</w:t>
      </w:r>
      <w:r>
        <w:t>odules, the method of gating the data acquisition changed.  Previously, the gating of 400 MeV and 1</w:t>
      </w:r>
      <w:r w:rsidRPr="00EB6F14">
        <w:rPr>
          <w:vertAlign w:val="superscript"/>
        </w:rPr>
        <w:t>st</w:t>
      </w:r>
      <w:r>
        <w:t xml:space="preserve"> Turn Booster Injection BPM’s was controlled by the same NIM FPGA module as is still used for the control of the Chopper.</w:t>
      </w:r>
    </w:p>
    <w:p w:rsidR="00BE7B5D" w:rsidRDefault="00BE7B5D" w:rsidP="00CD0D56">
      <w:r>
        <w:t xml:space="preserve">The new 200 MHz Linac style BPM modules receive a </w:t>
      </w:r>
      <w:proofErr w:type="spellStart"/>
      <w:r>
        <w:t>TClk</w:t>
      </w:r>
      <w:proofErr w:type="spellEnd"/>
      <w:r>
        <w:t xml:space="preserve"> signal to which they add an adjusted delay, after which the modules are “armed” and monitoring the beam intensity </w:t>
      </w:r>
      <w:r>
        <w:t>measured</w:t>
      </w:r>
      <w:r>
        <w:t xml:space="preserve"> with the BPM detector signals and gate acquisition once the beam intensity is determined to be above a set threshold.</w:t>
      </w:r>
    </w:p>
    <w:p w:rsidR="004E46DF" w:rsidRPr="004E46DF" w:rsidRDefault="004E46DF" w:rsidP="00CD0D56">
      <w:pPr>
        <w:rPr>
          <w:rStyle w:val="IntenseEmphasis"/>
          <w:highlight w:val="yellow"/>
        </w:rPr>
      </w:pPr>
      <w:r w:rsidRPr="004E46DF">
        <w:rPr>
          <w:rStyle w:val="IntenseEmphasis"/>
          <w:highlight w:val="yellow"/>
        </w:rPr>
        <w:t xml:space="preserve">Reference Linac BPM Documentation </w:t>
      </w:r>
    </w:p>
    <w:p w:rsidR="004E46DF" w:rsidRPr="004E46DF" w:rsidRDefault="004E46DF" w:rsidP="00CD0D56">
      <w:pPr>
        <w:rPr>
          <w:rStyle w:val="IntenseEmphasis"/>
        </w:rPr>
      </w:pPr>
      <w:r w:rsidRPr="004E46DF">
        <w:rPr>
          <w:rStyle w:val="IntenseEmphasis"/>
          <w:highlight w:val="yellow"/>
        </w:rPr>
        <w:t>DWG 173813 etc.</w:t>
      </w:r>
    </w:p>
    <w:p w:rsidR="005449F2" w:rsidRDefault="00661B23" w:rsidP="00661B23">
      <w:pPr>
        <w:pStyle w:val="Heading1"/>
      </w:pPr>
      <w:bookmarkStart w:id="7" w:name="_Toc274745956"/>
      <w:r>
        <w:t>Booster BPM Basics</w:t>
      </w:r>
      <w:bookmarkEnd w:id="7"/>
    </w:p>
    <w:p w:rsidR="005449F2" w:rsidRDefault="00661B23" w:rsidP="004C1798">
      <w:r>
        <w:t xml:space="preserve">The Booster is a 75 meter radius rapid cycling synchrotron which accelerates protons from 400 MeV to 8 GeV in approximately 33 </w:t>
      </w:r>
      <w:proofErr w:type="spellStart"/>
      <w:r>
        <w:t>ms.</w:t>
      </w:r>
      <w:proofErr w:type="spellEnd"/>
      <w:r>
        <w:t xml:space="preserve">  The machine lattice is divided into 24 identical periods consisting of an initial “long” straight section followed by the first pair of combined function magnets</w:t>
      </w:r>
      <w:r w:rsidR="000C324C">
        <w:t>, a “short” straight section followed by a second pair of combined function magnets.  At the upstream end of each pair of combined function magnets there is a Beam Position Monitor detector (BPM).  Each BPM provides a measurement of both the horizontal and vertical position of the beam relative to the center of the detector.  In summary, there is a horizontal and vertical position measurement at each long and short straight, at each of the 24 periods.</w:t>
      </w:r>
    </w:p>
    <w:p w:rsidR="003D1E9D" w:rsidRDefault="005D1985" w:rsidP="004C1798">
      <w:r>
        <w:t xml:space="preserve">The Booster synchrotron is designed to accelerate the beam with the accelerating RF frequency sweeping from approximately 37.0 MHz to 52.8 MHz and a harmonic number, h = 84.  This means a couple things for the BPM measurement.  First, the harmonic number of 84 means that the revolution period will be 84 times the RF period throughout the cycle.  </w:t>
      </w:r>
      <w:r w:rsidR="003D1E9D">
        <w:t>This fact is used to time the digitizing of the BPM position voltages as explained in a later section.</w:t>
      </w:r>
    </w:p>
    <w:p w:rsidR="005449F2" w:rsidRDefault="005D1985" w:rsidP="004C1798">
      <w:r>
        <w:t>Second, the RF demodulation of the signals from the BPM detector plates must be accomplished over the 37.0 MHz to 52.8 MHz range.</w:t>
      </w:r>
      <w:r w:rsidR="003D1E9D">
        <w:t xml:space="preserve">  This demodulation is accomplished by generating a frequency offset local oscillator signal along with the Booster RF signal generation.  This local oscillator signal is used to mix down the BPM detector signals to a common IF, intermediate frequency used in the RF Modules that derive the position voltages from the BPM detector signals.</w:t>
      </w:r>
    </w:p>
    <w:p w:rsidR="001220BB" w:rsidRDefault="001220BB" w:rsidP="004C1798">
      <w:r>
        <w:t>There are three signals that are distributed around the Booster gallery to the racks where the BPM positions are processed and digitized.  These are the local oscillator signal (BPM LO), the Booster accelerating RF reference signal, and a trigger to begin position sampling, timed with respect to the arrival of the injection of beam into the Booster.</w:t>
      </w:r>
    </w:p>
    <w:p w:rsidR="00644506" w:rsidRDefault="00644506" w:rsidP="00644506">
      <w:pPr>
        <w:pStyle w:val="Heading1"/>
      </w:pPr>
      <w:bookmarkStart w:id="8" w:name="_Toc274745957"/>
      <w:r>
        <w:t>Booster BPM Turn by Turn Gating and Sampling</w:t>
      </w:r>
      <w:bookmarkEnd w:id="8"/>
    </w:p>
    <w:p w:rsidR="00644506" w:rsidRDefault="003E0C40" w:rsidP="0094151D">
      <w:r>
        <w:t>During the Booster acceleration cycle</w:t>
      </w:r>
      <w:r w:rsidR="0094151D">
        <w:t>,</w:t>
      </w:r>
      <w:r>
        <w:t xml:space="preserve"> beam position voltages </w:t>
      </w:r>
      <w:r w:rsidR="0094151D">
        <w:t>are digitized by 4 channel VME modules.  D</w:t>
      </w:r>
      <w:r>
        <w:t xml:space="preserve">igitization is controlled by a </w:t>
      </w:r>
      <w:r w:rsidR="0094151D">
        <w:t xml:space="preserve">common </w:t>
      </w:r>
      <w:r>
        <w:t>external gate signal and sampling triggers (in groups of 4).</w:t>
      </w:r>
      <w:r w:rsidR="00F735F9">
        <w:t xml:space="preserve">  There are several objectives in acquiring the BPM position measurements.  First, it is desired to record a position from each vertical and horizontal BPM on each revolution of the beam, each turn.  The second objective is </w:t>
      </w:r>
      <w:r w:rsidR="00762CC4">
        <w:t xml:space="preserve">for every BPM around the Booster </w:t>
      </w:r>
      <w:r w:rsidR="00F735F9">
        <w:t>to measure the position of the same portion of the circulating beam</w:t>
      </w:r>
      <w:r w:rsidR="00762CC4">
        <w:t>.</w:t>
      </w:r>
      <w:r w:rsidR="003736E8">
        <w:t xml:space="preserve">  These objectives are achieved with the management of the sampling triggers generated by the Daughter Trigger Generator chassis (DTG).  </w:t>
      </w:r>
      <w:r w:rsidR="005449F2">
        <w:t>The term “Daughter” refers back to a previous data acquisition system whose digitizing circuits were daughter boards that plug onto a larger module.</w:t>
      </w:r>
      <w:r w:rsidR="00B56202">
        <w:t xml:space="preserve">  </w:t>
      </w:r>
      <w:r w:rsidR="00517804">
        <w:t>A single</w:t>
      </w:r>
      <w:r w:rsidR="00B56202">
        <w:t xml:space="preserve"> DTG chassis</w:t>
      </w:r>
      <w:r w:rsidR="00517804">
        <w:t xml:space="preserve"> can generate triggers for as many as 6 BPM horizontal and vertical position pairs.  That is, one for every 12 BPM positions to be digitized.</w:t>
      </w:r>
    </w:p>
    <w:p w:rsidR="005449F2" w:rsidRDefault="00B56202" w:rsidP="0094151D">
      <w:r>
        <w:t xml:space="preserve">The DTG </w:t>
      </w:r>
      <w:r w:rsidR="00F67904">
        <w:t>chassis</w:t>
      </w:r>
      <w:r>
        <w:t xml:space="preserve"> implements a counting function and three distinct trigger delay functions.  The counting circuit counts the Booster RF cycles and initiates a sample trigger every 84.  This trigger is delayed by a second</w:t>
      </w:r>
      <w:r w:rsidR="00517804">
        <w:t xml:space="preserve"> set of</w:t>
      </w:r>
      <w:r>
        <w:t xml:space="preserve"> counter</w:t>
      </w:r>
      <w:r w:rsidR="00517804">
        <w:t>s</w:t>
      </w:r>
      <w:r>
        <w:t xml:space="preserve"> that also counts RF cycles</w:t>
      </w:r>
      <w:r w:rsidR="00517804">
        <w:t xml:space="preserve"> to compensate for the beam transit time between </w:t>
      </w:r>
      <w:r w:rsidR="00517804">
        <w:lastRenderedPageBreak/>
        <w:t>BPMs serviced in this location of the Booster gallery.  Note that the transit time changes through the Booster cycle as the RF frequency changes</w:t>
      </w:r>
      <w:r w:rsidR="00F67904">
        <w:t>.  The number of RF cycles the sample triggers are delayed is set by switches in the DTG chassis</w:t>
      </w:r>
      <w:r w:rsidR="003A0E30">
        <w:t xml:space="preserve"> and is settable between 0 and 7</w:t>
      </w:r>
      <w:r w:rsidR="00F67904">
        <w:t>.</w:t>
      </w:r>
    </w:p>
    <w:p w:rsidR="00F67904" w:rsidRDefault="00F67904" w:rsidP="0094151D">
      <w:r>
        <w:t>Additionally there is a jumper settable fixed delay that is meant to compensate for the differences in cable lengths between the RF Modulator electronics upstairs and each BPM detector in the tunnel.  This delay is set according to the difference in cable delay for the particular BPM and the shortest cable delay in the group.</w:t>
      </w:r>
      <w:r w:rsidR="003A0E30">
        <w:t xml:space="preserve">  This fixed delay is settable between 0 and 200 ns.</w:t>
      </w:r>
    </w:p>
    <w:p w:rsidR="00F67904" w:rsidRDefault="00F67904" w:rsidP="0094151D">
      <w:r>
        <w:t>The third signal delay function in the DTG chassis is used to time the start of the 84</w:t>
      </w:r>
      <w:r w:rsidR="003A0E30">
        <w:t xml:space="preserve"> cycle count.</w:t>
      </w:r>
      <w:r w:rsidR="00D004E6">
        <w:t xml:space="preserve">  This delay is settable between 200 and 3200 ns, in steps of 40 ns.  This delay is used in conjunction with the delay of the cabling that distributes the beam injection sync pulse to the racks around the Booster gallery.  It is the </w:t>
      </w:r>
      <w:r w:rsidR="004F35DB">
        <w:t>timing of this start trigger that anchors the other individual channel delays to accomplish the objective of having the position measurement of every BPM recorded for the same portion of the circulating beam.</w:t>
      </w:r>
    </w:p>
    <w:p w:rsidR="00104D1B" w:rsidRDefault="00104D1B" w:rsidP="0094151D">
      <w:r>
        <w:t>The circuit schematic for the Daughter Trigger Generator is drawing number 0803-ED-21837 Rev. B, July 31, 1991.  A simplified block diagram is given in Figure V.1.</w:t>
      </w:r>
    </w:p>
    <w:p w:rsidR="008D72CD" w:rsidRDefault="00145271" w:rsidP="0094151D">
      <w:r>
        <w:t>Note at this point that the 4 channel VME digitizers have one external sample trigger input that controls the sampling of all 4 position voltage inputs.  Hence only every other sample trigger output of the DTG chassis is employed.</w:t>
      </w:r>
    </w:p>
    <w:p w:rsidR="00104D1B" w:rsidRDefault="008D72CD" w:rsidP="0094151D">
      <w:r>
        <w:rPr>
          <w:noProof/>
        </w:rPr>
        <w:lastRenderedPageBreak/>
        <w:drawing>
          <wp:inline distT="0" distB="0" distL="0" distR="0">
            <wp:extent cx="5943245" cy="4522470"/>
            <wp:effectExtent l="19050" t="0" r="355" b="0"/>
            <wp:docPr id="8" name="Picture 7" descr="DTG Block 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G Block Diagram.GIF"/>
                    <pic:cNvPicPr/>
                  </pic:nvPicPr>
                  <pic:blipFill>
                    <a:blip r:embed="rId14" cstate="print"/>
                    <a:stretch>
                      <a:fillRect/>
                    </a:stretch>
                  </pic:blipFill>
                  <pic:spPr>
                    <a:xfrm>
                      <a:off x="0" y="0"/>
                      <a:ext cx="5943245" cy="4522470"/>
                    </a:xfrm>
                    <a:prstGeom prst="rect">
                      <a:avLst/>
                    </a:prstGeom>
                  </pic:spPr>
                </pic:pic>
              </a:graphicData>
            </a:graphic>
          </wp:inline>
        </w:drawing>
      </w:r>
    </w:p>
    <w:p w:rsidR="008D72CD" w:rsidRDefault="008D72CD" w:rsidP="0047412D">
      <w:pPr>
        <w:pStyle w:val="Figure1"/>
      </w:pPr>
      <w:bookmarkStart w:id="9" w:name="_Toc274743550"/>
      <w:r>
        <w:t>Figure V.1 Simplified block diagram of the Daughter Trigger Generator chassis.</w:t>
      </w:r>
      <w:bookmarkEnd w:id="9"/>
    </w:p>
    <w:p w:rsidR="008D72CD" w:rsidRDefault="008D72CD" w:rsidP="0094151D">
      <w:bookmarkStart w:id="10" w:name="_GoBack"/>
      <w:bookmarkEnd w:id="10"/>
    </w:p>
    <w:p w:rsidR="008D72CD" w:rsidRDefault="00F8321B" w:rsidP="00F8321B">
      <w:pPr>
        <w:pStyle w:val="Heading1"/>
      </w:pPr>
      <w:bookmarkStart w:id="11" w:name="_Toc274745958"/>
      <w:r>
        <w:t>BPM Cabling and Signal Distribution</w:t>
      </w:r>
      <w:bookmarkEnd w:id="11"/>
    </w:p>
    <w:p w:rsidR="00F8321B" w:rsidRDefault="00F8321B" w:rsidP="00F8321B">
      <w:r>
        <w:t>As mentioned, there are three signals that are distributed around the Booster gallery to the racks where the BPM positions are processed and digitized.  These are the local oscillator signal (BPM LO), the Booster accelerating RF reference signal, and a trigger to begin position sampling that is timed with respect to the arrival of the injection of beam into the Booster.</w:t>
      </w:r>
    </w:p>
    <w:p w:rsidR="00F8321B" w:rsidRDefault="00F8321B" w:rsidP="0094151D">
      <w:r>
        <w:t>The Booster Low-Level RF reference and the frequency offset BPM local oscillator signal (BPM LO) are generated by the “Digital Frequency Source” VXI module in the Low Level RF roo</w:t>
      </w:r>
      <w:r w:rsidR="005167AD">
        <w:t>m in the East Booster gallery.  The naming of the RF reference signal has several aliases since the Booster has evolved over several decades.  The names LLRF, BRF, VCO all refer to the Low Level RF reference and will be found on different cable labels, schematics and equipment inputs and outputs.</w:t>
      </w:r>
    </w:p>
    <w:p w:rsidR="006416A5" w:rsidRDefault="005167AD" w:rsidP="0094151D">
      <w:pPr>
        <w:rPr>
          <w:noProof/>
        </w:rPr>
      </w:pPr>
      <w:r>
        <w:t>Figure VI.1 illustrates the routing of the Booster RF reference between the racks in the East and West B</w:t>
      </w:r>
      <w:r w:rsidR="00847C68">
        <w:t xml:space="preserve">ooster galleries.  Since the RF frequency sweeps it is important to deliver the RF reference signals to </w:t>
      </w:r>
      <w:r w:rsidR="00847C68">
        <w:lastRenderedPageBreak/>
        <w:t>each rack with equal phase delay.  Loops of cable in each rack are sized to provide the same amount of cable delay for each signal.  In the racks there are two functions that use the RF reference as an input.  These are the Daughter Trigger Generators that count the RF cycles, and the BPM Test interface Modules used to periodically verifying the calibration of the RF Modules and the BPM Digitizers.</w:t>
      </w:r>
    </w:p>
    <w:p w:rsidR="00266CF5" w:rsidRDefault="00266CF5" w:rsidP="0094151D">
      <w:pPr>
        <w:rPr>
          <w:noProof/>
        </w:rPr>
      </w:pPr>
      <w:r>
        <w:rPr>
          <w:noProof/>
        </w:rPr>
        <w:t>Figure VI.2 illustrates the routing of the BPM local oscillator signal used in the BPM detector signal demodulation in the RF Modules.  As seen in the diagram, the BPM LO signals are amplified and then distributed to the RF Modules through special cabling withn the NIM crates and through the NIM module power connection.</w:t>
      </w:r>
    </w:p>
    <w:p w:rsidR="00266CF5" w:rsidRDefault="00266CF5" w:rsidP="0094151D">
      <w:pPr>
        <w:rPr>
          <w:noProof/>
        </w:rPr>
      </w:pPr>
      <w:r>
        <w:rPr>
          <w:noProof/>
        </w:rPr>
        <w:t>Figure VI.3 illustrates the distribution of the Injection Sync signal.  The Injection Sync signals are actually</w:t>
      </w:r>
      <w:r w:rsidR="00F918F4">
        <w:rPr>
          <w:noProof/>
        </w:rPr>
        <w:t xml:space="preserve"> copies of the Delayed Chop On signal which switches beam from the LINAC, into the 400 MeV line and into the Booster.  The Injection Sync signal is used by the Daughter Trigger Generators, as described </w:t>
      </w:r>
      <w:r w:rsidR="00EE32D7">
        <w:rPr>
          <w:noProof/>
        </w:rPr>
        <w:t>earlier, to synchronize the turn by turn sampling of the position voltages.  The Injection Sync signal is also used as the start pulse for the Booster Beam Present Gate signal that is applied to the front panel “Ext. Gate” input to the VME digitizer cards.</w:t>
      </w:r>
    </w:p>
    <w:p w:rsidR="00F8321B" w:rsidRDefault="006416A5" w:rsidP="0094151D">
      <w:r>
        <w:rPr>
          <w:noProof/>
        </w:rPr>
        <w:lastRenderedPageBreak/>
        <w:drawing>
          <wp:inline distT="0" distB="0" distL="0" distR="0">
            <wp:extent cx="5052060" cy="7789545"/>
            <wp:effectExtent l="19050" t="0" r="0" b="0"/>
            <wp:docPr id="9" name="Picture 5" descr="BRF Distribu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F Distribution.GIF"/>
                    <pic:cNvPicPr/>
                  </pic:nvPicPr>
                  <pic:blipFill>
                    <a:blip r:embed="rId15" cstate="print"/>
                    <a:stretch>
                      <a:fillRect/>
                    </a:stretch>
                  </pic:blipFill>
                  <pic:spPr>
                    <a:xfrm>
                      <a:off x="0" y="0"/>
                      <a:ext cx="5052060" cy="7789545"/>
                    </a:xfrm>
                    <a:prstGeom prst="rect">
                      <a:avLst/>
                    </a:prstGeom>
                  </pic:spPr>
                </pic:pic>
              </a:graphicData>
            </a:graphic>
          </wp:inline>
        </w:drawing>
      </w:r>
    </w:p>
    <w:p w:rsidR="006416A5" w:rsidRDefault="006416A5" w:rsidP="0047412D">
      <w:pPr>
        <w:pStyle w:val="Figure1"/>
      </w:pPr>
      <w:bookmarkStart w:id="12" w:name="_Toc274743551"/>
      <w:r>
        <w:t>Figure VI.1 Illustration of the routing of the Booster RF Reference signal.</w:t>
      </w:r>
      <w:bookmarkEnd w:id="12"/>
    </w:p>
    <w:p w:rsidR="00686B15" w:rsidRDefault="002E3D71">
      <w:r>
        <w:rPr>
          <w:noProof/>
        </w:rPr>
        <w:lastRenderedPageBreak/>
        <w:drawing>
          <wp:inline distT="0" distB="0" distL="0" distR="0">
            <wp:extent cx="5316665" cy="7632954"/>
            <wp:effectExtent l="19050" t="0" r="0" b="0"/>
            <wp:docPr id="7" name="Picture 6" descr="BPM LO Distribu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M LO Distribution.GIF"/>
                    <pic:cNvPicPr/>
                  </pic:nvPicPr>
                  <pic:blipFill>
                    <a:blip r:embed="rId16" cstate="print"/>
                    <a:stretch>
                      <a:fillRect/>
                    </a:stretch>
                  </pic:blipFill>
                  <pic:spPr>
                    <a:xfrm>
                      <a:off x="0" y="0"/>
                      <a:ext cx="5316665" cy="7632954"/>
                    </a:xfrm>
                    <a:prstGeom prst="rect">
                      <a:avLst/>
                    </a:prstGeom>
                  </pic:spPr>
                </pic:pic>
              </a:graphicData>
            </a:graphic>
          </wp:inline>
        </w:drawing>
      </w:r>
    </w:p>
    <w:p w:rsidR="00686B15" w:rsidRDefault="00744661" w:rsidP="0047412D">
      <w:pPr>
        <w:pStyle w:val="Figure1"/>
      </w:pPr>
      <w:bookmarkStart w:id="13" w:name="_Toc274743552"/>
      <w:r>
        <w:t>Figure VI.2 Illustration of the BPM local oscillator distribution</w:t>
      </w:r>
      <w:bookmarkEnd w:id="13"/>
    </w:p>
    <w:p w:rsidR="00686B15" w:rsidRDefault="00744661">
      <w:r>
        <w:rPr>
          <w:noProof/>
        </w:rPr>
        <w:lastRenderedPageBreak/>
        <w:drawing>
          <wp:inline distT="0" distB="0" distL="0" distR="0">
            <wp:extent cx="4973479" cy="7805833"/>
            <wp:effectExtent l="19050" t="0" r="0" b="0"/>
            <wp:docPr id="10" name="Picture 4" descr="INJ SYNC Distribu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J SYNC Distribution.GIF"/>
                    <pic:cNvPicPr/>
                  </pic:nvPicPr>
                  <pic:blipFill>
                    <a:blip r:embed="rId17" cstate="print"/>
                    <a:stretch>
                      <a:fillRect/>
                    </a:stretch>
                  </pic:blipFill>
                  <pic:spPr>
                    <a:xfrm>
                      <a:off x="0" y="0"/>
                      <a:ext cx="4973479" cy="7805833"/>
                    </a:xfrm>
                    <a:prstGeom prst="rect">
                      <a:avLst/>
                    </a:prstGeom>
                  </pic:spPr>
                </pic:pic>
              </a:graphicData>
            </a:graphic>
          </wp:inline>
        </w:drawing>
      </w:r>
    </w:p>
    <w:p w:rsidR="00F918F4" w:rsidRDefault="00266CF5" w:rsidP="0047412D">
      <w:pPr>
        <w:pStyle w:val="Figure1"/>
      </w:pPr>
      <w:bookmarkStart w:id="14" w:name="_Toc274743553"/>
      <w:r>
        <w:t>Figure VI.3 Illustration of the Injection Sync trigger distribution</w:t>
      </w:r>
      <w:bookmarkEnd w:id="14"/>
    </w:p>
    <w:p w:rsidR="00166169" w:rsidRDefault="00166169" w:rsidP="00166169">
      <w:pPr>
        <w:pStyle w:val="Heading1"/>
        <w:numPr>
          <w:ilvl w:val="0"/>
          <w:numId w:val="0"/>
        </w:numPr>
        <w:ind w:left="360"/>
      </w:pPr>
      <w:bookmarkStart w:id="15" w:name="_Toc274745959"/>
      <w:r>
        <w:lastRenderedPageBreak/>
        <w:t>Appendix A: Booster BPM Cable Listing</w:t>
      </w:r>
      <w:bookmarkEnd w:id="15"/>
    </w:p>
    <w:p w:rsidR="00166169" w:rsidRDefault="00166169" w:rsidP="0047412D">
      <w:pPr>
        <w:pStyle w:val="Figure1"/>
      </w:pPr>
      <w:r>
        <w:t>Table A.1 BPM Cable Listing</w:t>
      </w:r>
    </w:p>
    <w:tbl>
      <w:tblPr>
        <w:tblW w:w="6040" w:type="dxa"/>
        <w:tblInd w:w="108" w:type="dxa"/>
        <w:tblLook w:val="04A0" w:firstRow="1" w:lastRow="0" w:firstColumn="1" w:lastColumn="0" w:noHBand="0" w:noVBand="1"/>
      </w:tblPr>
      <w:tblGrid>
        <w:gridCol w:w="960"/>
        <w:gridCol w:w="1030"/>
        <w:gridCol w:w="960"/>
        <w:gridCol w:w="960"/>
        <w:gridCol w:w="979"/>
        <w:gridCol w:w="1240"/>
      </w:tblGrid>
      <w:tr w:rsidR="00166169" w:rsidRPr="00166169" w:rsidTr="00166169">
        <w:trPr>
          <w:trHeight w:val="1155"/>
        </w:trPr>
        <w:tc>
          <w:tcPr>
            <w:tcW w:w="960" w:type="dxa"/>
            <w:tcBorders>
              <w:top w:val="nil"/>
              <w:left w:val="nil"/>
              <w:bottom w:val="nil"/>
              <w:right w:val="nil"/>
            </w:tcBorders>
            <w:shd w:val="clear" w:color="auto" w:fill="auto"/>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BPM</w:t>
            </w:r>
          </w:p>
        </w:tc>
        <w:tc>
          <w:tcPr>
            <w:tcW w:w="960" w:type="dxa"/>
            <w:tcBorders>
              <w:top w:val="nil"/>
              <w:left w:val="nil"/>
              <w:bottom w:val="nil"/>
              <w:right w:val="nil"/>
            </w:tcBorders>
            <w:shd w:val="clear" w:color="auto" w:fill="auto"/>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Plate</w:t>
            </w:r>
          </w:p>
        </w:tc>
        <w:tc>
          <w:tcPr>
            <w:tcW w:w="960" w:type="dxa"/>
            <w:tcBorders>
              <w:top w:val="nil"/>
              <w:left w:val="nil"/>
              <w:bottom w:val="nil"/>
              <w:right w:val="nil"/>
            </w:tcBorders>
            <w:shd w:val="clear" w:color="auto" w:fill="auto"/>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Channel</w:t>
            </w:r>
          </w:p>
        </w:tc>
        <w:tc>
          <w:tcPr>
            <w:tcW w:w="960" w:type="dxa"/>
            <w:tcBorders>
              <w:top w:val="nil"/>
              <w:left w:val="nil"/>
              <w:bottom w:val="nil"/>
              <w:right w:val="nil"/>
            </w:tcBorders>
            <w:shd w:val="clear" w:color="auto" w:fill="auto"/>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KVBH #</w:t>
            </w:r>
          </w:p>
        </w:tc>
        <w:tc>
          <w:tcPr>
            <w:tcW w:w="960" w:type="dxa"/>
            <w:tcBorders>
              <w:top w:val="nil"/>
              <w:left w:val="nil"/>
              <w:bottom w:val="nil"/>
              <w:right w:val="nil"/>
            </w:tcBorders>
            <w:shd w:val="clear" w:color="auto" w:fill="auto"/>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Location</w:t>
            </w:r>
          </w:p>
        </w:tc>
        <w:tc>
          <w:tcPr>
            <w:tcW w:w="1240" w:type="dxa"/>
            <w:tcBorders>
              <w:top w:val="nil"/>
              <w:left w:val="nil"/>
              <w:bottom w:val="nil"/>
              <w:right w:val="nil"/>
            </w:tcBorders>
            <w:shd w:val="clear" w:color="auto" w:fill="auto"/>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Posted Cable Length, ns</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185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271.1</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186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187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272.4</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188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189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241.5</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190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191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242.1</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192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001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210.7</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002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003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212.3</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004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005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164.8</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006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007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165.4</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008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009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109.5</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010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011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109.5</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012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013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80.2</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014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015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80.7</w:t>
            </w:r>
          </w:p>
        </w:tc>
      </w:tr>
      <w:tr w:rsidR="00166169" w:rsidRPr="00166169" w:rsidTr="00166169">
        <w:trPr>
          <w:trHeight w:val="300"/>
        </w:trPr>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V6</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016</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w:t>
            </w:r>
          </w:p>
        </w:tc>
        <w:tc>
          <w:tcPr>
            <w:tcW w:w="124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 </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017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115.9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018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019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114.9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020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021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146.9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022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023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146.1</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024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025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197.9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026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027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197.9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028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lastRenderedPageBreak/>
              <w:t>H4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029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224.4</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030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031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224.4</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032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033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L05</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273.9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034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L05</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035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L05</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272.0</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036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L05</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037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S05</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303.5</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038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S05</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039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S05</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303.8</w:t>
            </w:r>
          </w:p>
        </w:tc>
      </w:tr>
      <w:tr w:rsidR="00166169" w:rsidRPr="00166169" w:rsidTr="00166169">
        <w:trPr>
          <w:trHeight w:val="300"/>
        </w:trPr>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V6</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040</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S05</w:t>
            </w:r>
          </w:p>
        </w:tc>
        <w:tc>
          <w:tcPr>
            <w:tcW w:w="124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 </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041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L06</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493.2</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042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L06</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043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L06</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495.2</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044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L06</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045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S06</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462.7</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046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S06</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047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S06</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464.9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048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S06</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049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L07</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415.2</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050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L07</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051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L07</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414.7</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052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L07</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053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S07</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382.2</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054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S07</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055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S07</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383.7</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056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S07</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057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L08</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330.9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058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L08</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059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L08</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331.9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060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L08</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061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S08</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301.7</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062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S08</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063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S08</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303.2</w:t>
            </w:r>
          </w:p>
        </w:tc>
      </w:tr>
      <w:tr w:rsidR="00166169" w:rsidRPr="00166169" w:rsidTr="00166169">
        <w:trPr>
          <w:trHeight w:val="300"/>
        </w:trPr>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V6</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064</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S08</w:t>
            </w:r>
          </w:p>
        </w:tc>
        <w:tc>
          <w:tcPr>
            <w:tcW w:w="124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 </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065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L09</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255.7</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066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L09</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067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L09</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257.2</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068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L09</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069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S09</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227.2</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070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S09</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071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S09</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227.4</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lastRenderedPageBreak/>
              <w:t>V2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072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S09</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073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L10</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176.4</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074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L10</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075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L10</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177.2</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076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L10</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077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S10</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145.9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078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S10</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079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S10</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146.9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080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S10</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081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115.7</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082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083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116.7</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084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085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145.2</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086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087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146.2</w:t>
            </w:r>
          </w:p>
        </w:tc>
      </w:tr>
      <w:tr w:rsidR="00166169" w:rsidRPr="00166169" w:rsidTr="00166169">
        <w:trPr>
          <w:trHeight w:val="300"/>
        </w:trPr>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V6</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088</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S11</w:t>
            </w:r>
          </w:p>
        </w:tc>
        <w:tc>
          <w:tcPr>
            <w:tcW w:w="124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 </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089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215.0</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090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091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215.8</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092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093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186.7</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094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095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189.1</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096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097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136.0</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098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099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137.1</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100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101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106.4</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102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103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106.4</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104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105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58.4</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106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107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57.9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108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109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79.7</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110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111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S14</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79.9</w:t>
            </w:r>
          </w:p>
        </w:tc>
      </w:tr>
      <w:tr w:rsidR="00166169" w:rsidRPr="00166169" w:rsidTr="00166169">
        <w:trPr>
          <w:trHeight w:val="300"/>
        </w:trPr>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V6</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112</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S14</w:t>
            </w:r>
          </w:p>
        </w:tc>
        <w:tc>
          <w:tcPr>
            <w:tcW w:w="124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 </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113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L15</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187.0</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114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L15</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lastRenderedPageBreak/>
              <w:t>V1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115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L15</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188.0</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116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L15</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117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S15</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155.8</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118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S15</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119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S15</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156.7</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120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S15</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121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L16</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107.1</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122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L16</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123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L16</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106.3</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124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L16</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125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S16</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76.9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126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S16</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127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S16</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77.2</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128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S16</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129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L17</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78.5</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130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L17</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131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L17</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79.0</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132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L17</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133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S17</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107.9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134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S17</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135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S17</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108.4</w:t>
            </w:r>
          </w:p>
        </w:tc>
      </w:tr>
      <w:tr w:rsidR="00166169" w:rsidRPr="00166169" w:rsidTr="00166169">
        <w:trPr>
          <w:trHeight w:val="300"/>
        </w:trPr>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V6</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136</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S17</w:t>
            </w:r>
          </w:p>
        </w:tc>
        <w:tc>
          <w:tcPr>
            <w:tcW w:w="124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 </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137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L18</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256.3</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138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L18</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139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L18</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254.8</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140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L18</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141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S18</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225.5</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142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S18</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143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S18</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223.7</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144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S18</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145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L19</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174.9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146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L19</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147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L19</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175.0</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148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L19</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149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S19</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144.0</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150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S19</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151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S19</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143.9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152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S19</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153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L20</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92.2</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154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L20</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155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L20</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92.1</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156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L20</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157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S20</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73.7</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lastRenderedPageBreak/>
              <w:t>H6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158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S20</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159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S20</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73.8</w:t>
            </w:r>
          </w:p>
        </w:tc>
      </w:tr>
      <w:tr w:rsidR="00166169" w:rsidRPr="00166169" w:rsidTr="00166169">
        <w:trPr>
          <w:trHeight w:val="300"/>
        </w:trPr>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V6</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160</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S20</w:t>
            </w:r>
          </w:p>
        </w:tc>
        <w:tc>
          <w:tcPr>
            <w:tcW w:w="124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 </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161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106.3</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162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163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106.9</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164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165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77.7</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166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167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77.7</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168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S21</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169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77.8</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170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171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77.8</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172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173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108.3</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174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175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108.4</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V4</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176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S22</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177</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158.4</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178</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179</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158.4</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V5</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180</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L23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IN</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181</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188.5</w:t>
            </w: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H6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OUT</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182</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p>
        </w:tc>
      </w:tr>
      <w:tr w:rsidR="00166169" w:rsidRPr="00166169" w:rsidTr="00166169">
        <w:trPr>
          <w:trHeight w:val="300"/>
        </w:trPr>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V6</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BOTTOM</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A</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183</w:t>
            </w:r>
          </w:p>
        </w:tc>
        <w:tc>
          <w:tcPr>
            <w:tcW w:w="96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S23</w:t>
            </w:r>
          </w:p>
        </w:tc>
        <w:tc>
          <w:tcPr>
            <w:tcW w:w="1240" w:type="dxa"/>
            <w:tcBorders>
              <w:top w:val="nil"/>
              <w:left w:val="nil"/>
              <w:bottom w:val="nil"/>
              <w:right w:val="nil"/>
            </w:tcBorders>
            <w:shd w:val="clear" w:color="auto" w:fill="auto"/>
            <w:noWrap/>
            <w:vAlign w:val="bottom"/>
            <w:hideMark/>
          </w:tcPr>
          <w:p w:rsidR="00166169" w:rsidRPr="00166169" w:rsidRDefault="00166169" w:rsidP="00166169">
            <w:pPr>
              <w:spacing w:after="0" w:line="240" w:lineRule="auto"/>
              <w:jc w:val="right"/>
              <w:rPr>
                <w:rFonts w:ascii="Calibri" w:eastAsia="Times New Roman" w:hAnsi="Calibri" w:cs="Times New Roman"/>
                <w:color w:val="000000"/>
              </w:rPr>
            </w:pPr>
            <w:r w:rsidRPr="00166169">
              <w:rPr>
                <w:rFonts w:ascii="Calibri" w:eastAsia="Times New Roman" w:hAnsi="Calibri" w:cs="Times New Roman"/>
                <w:color w:val="000000"/>
              </w:rPr>
              <w:t>188.5</w:t>
            </w:r>
          </w:p>
        </w:tc>
      </w:tr>
      <w:tr w:rsidR="00166169" w:rsidRPr="00166169" w:rsidTr="00166169">
        <w:trPr>
          <w:trHeight w:val="300"/>
        </w:trPr>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V6</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TOP</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B</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184</w:t>
            </w:r>
          </w:p>
        </w:tc>
        <w:tc>
          <w:tcPr>
            <w:tcW w:w="96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S23</w:t>
            </w:r>
          </w:p>
        </w:tc>
        <w:tc>
          <w:tcPr>
            <w:tcW w:w="1240" w:type="dxa"/>
            <w:tcBorders>
              <w:top w:val="nil"/>
              <w:left w:val="nil"/>
              <w:bottom w:val="single" w:sz="4" w:space="0" w:color="auto"/>
              <w:right w:val="nil"/>
            </w:tcBorders>
            <w:shd w:val="clear" w:color="auto" w:fill="auto"/>
            <w:noWrap/>
            <w:vAlign w:val="bottom"/>
            <w:hideMark/>
          </w:tcPr>
          <w:p w:rsidR="00166169" w:rsidRPr="00166169" w:rsidRDefault="00166169" w:rsidP="00166169">
            <w:pPr>
              <w:spacing w:after="0" w:line="240" w:lineRule="auto"/>
              <w:rPr>
                <w:rFonts w:ascii="Calibri" w:eastAsia="Times New Roman" w:hAnsi="Calibri" w:cs="Times New Roman"/>
                <w:color w:val="000000"/>
              </w:rPr>
            </w:pPr>
            <w:r w:rsidRPr="00166169">
              <w:rPr>
                <w:rFonts w:ascii="Calibri" w:eastAsia="Times New Roman" w:hAnsi="Calibri" w:cs="Times New Roman"/>
                <w:color w:val="000000"/>
              </w:rPr>
              <w:t> </w:t>
            </w:r>
          </w:p>
        </w:tc>
      </w:tr>
    </w:tbl>
    <w:p w:rsidR="00891458" w:rsidRDefault="00891458" w:rsidP="0047412D">
      <w:pPr>
        <w:pStyle w:val="Figure1"/>
      </w:pPr>
    </w:p>
    <w:p w:rsidR="00891458" w:rsidRDefault="00891458">
      <w:r>
        <w:br w:type="page"/>
      </w:r>
    </w:p>
    <w:p w:rsidR="00891458" w:rsidRDefault="00891458" w:rsidP="00891458">
      <w:pPr>
        <w:pStyle w:val="Heading1"/>
        <w:numPr>
          <w:ilvl w:val="0"/>
          <w:numId w:val="0"/>
        </w:numPr>
        <w:ind w:left="360"/>
      </w:pPr>
      <w:bookmarkStart w:id="16" w:name="_Toc274745960"/>
      <w:r>
        <w:lastRenderedPageBreak/>
        <w:t>Appendix B: Booster BPM Electronics Listing</w:t>
      </w:r>
      <w:bookmarkEnd w:id="16"/>
    </w:p>
    <w:p w:rsidR="00891458" w:rsidRDefault="00891458"/>
    <w:p w:rsidR="00891458" w:rsidRDefault="00891458" w:rsidP="00891458">
      <w:pPr>
        <w:pBdr>
          <w:top w:val="single" w:sz="12" w:space="1" w:color="auto"/>
          <w:left w:val="single" w:sz="12" w:space="4" w:color="auto"/>
          <w:bottom w:val="single" w:sz="12" w:space="1" w:color="auto"/>
          <w:right w:val="single" w:sz="12" w:space="4" w:color="auto"/>
        </w:pBdr>
        <w:spacing w:before="120" w:after="120"/>
      </w:pPr>
      <w:r>
        <w:t>VME Crate: BBPM24</w:t>
      </w:r>
    </w:p>
    <w:tbl>
      <w:tblPr>
        <w:tblW w:w="6405" w:type="dxa"/>
        <w:tblInd w:w="93" w:type="dxa"/>
        <w:shd w:val="clear" w:color="000000" w:fill="auto"/>
        <w:tblLayout w:type="fixed"/>
        <w:tblLook w:val="04A0" w:firstRow="1" w:lastRow="0" w:firstColumn="1" w:lastColumn="0" w:noHBand="0" w:noVBand="1"/>
      </w:tblPr>
      <w:tblGrid>
        <w:gridCol w:w="1005"/>
        <w:gridCol w:w="900"/>
        <w:gridCol w:w="1440"/>
        <w:gridCol w:w="1080"/>
        <w:gridCol w:w="990"/>
        <w:gridCol w:w="990"/>
      </w:tblGrid>
      <w:tr w:rsidR="00891458" w:rsidRPr="0015692B" w:rsidTr="00891458">
        <w:trPr>
          <w:trHeight w:val="300"/>
        </w:trPr>
        <w:tc>
          <w:tcPr>
            <w:tcW w:w="1005"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rPr>
            </w:pPr>
            <w:r w:rsidRPr="00F2132F">
              <w:rPr>
                <w:rFonts w:ascii="Calibri" w:eastAsia="Times New Roman" w:hAnsi="Calibri"/>
              </w:rPr>
              <w:t>Name</w:t>
            </w:r>
          </w:p>
        </w:tc>
        <w:tc>
          <w:tcPr>
            <w:tcW w:w="90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rPr>
            </w:pPr>
            <w:r w:rsidRPr="00F2132F">
              <w:rPr>
                <w:rFonts w:ascii="Calibri" w:eastAsia="Times New Roman" w:hAnsi="Calibri"/>
              </w:rPr>
              <w:t>Period</w:t>
            </w:r>
          </w:p>
        </w:tc>
        <w:tc>
          <w:tcPr>
            <w:tcW w:w="144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rPr>
            </w:pPr>
            <w:proofErr w:type="spellStart"/>
            <w:r w:rsidRPr="00F2132F">
              <w:rPr>
                <w:rFonts w:ascii="Calibri" w:eastAsia="Times New Roman" w:hAnsi="Calibri"/>
              </w:rPr>
              <w:t>Demod</w:t>
            </w:r>
            <w:proofErr w:type="spellEnd"/>
            <w:r w:rsidRPr="00F2132F">
              <w:rPr>
                <w:rFonts w:ascii="Calibri" w:eastAsia="Times New Roman" w:hAnsi="Calibri"/>
              </w:rPr>
              <w:t xml:space="preserve"> Rack #</w:t>
            </w:r>
          </w:p>
        </w:tc>
        <w:tc>
          <w:tcPr>
            <w:tcW w:w="108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rPr>
            </w:pPr>
            <w:r w:rsidRPr="00F2132F">
              <w:rPr>
                <w:rFonts w:ascii="Calibri" w:eastAsia="Times New Roman" w:hAnsi="Calibri"/>
              </w:rPr>
              <w:t>VME alias</w:t>
            </w:r>
          </w:p>
        </w:tc>
        <w:tc>
          <w:tcPr>
            <w:tcW w:w="99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rPr>
            </w:pPr>
            <w:r>
              <w:rPr>
                <w:rFonts w:ascii="Calibri" w:eastAsia="Times New Roman" w:hAnsi="Calibri"/>
              </w:rPr>
              <w:t>VME MOD</w:t>
            </w:r>
          </w:p>
        </w:tc>
        <w:tc>
          <w:tcPr>
            <w:tcW w:w="99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color w:val="000000"/>
              </w:rPr>
            </w:pPr>
            <w:r>
              <w:rPr>
                <w:rFonts w:ascii="Calibri" w:eastAsia="Times New Roman" w:hAnsi="Calibri"/>
                <w:color w:val="000000"/>
              </w:rPr>
              <w:t xml:space="preserve">VME </w:t>
            </w:r>
            <w:r w:rsidRPr="00F2132F">
              <w:rPr>
                <w:rFonts w:ascii="Calibri" w:eastAsia="Times New Roman" w:hAnsi="Calibri"/>
                <w:color w:val="000000"/>
              </w:rPr>
              <w:t>CHAN</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HL24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HP24L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VL24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VP24L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HS24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HP24S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VS24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VP24S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HL1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HP01L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VL1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VP01L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HS1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HP01S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VS1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VP01S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HL2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HP02L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VL2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VP02L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HS2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HP02S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VS2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VP02S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HL3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HP03L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VL3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VP03L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HS3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HP03S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VS3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VP03S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HL4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HP04L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4</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VL4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VP04L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4</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HS4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HP04S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4</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VS4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VP04S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4</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HL5</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5</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HP05L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5</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VL5</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5</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VP05L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5</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HS5</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5</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HP05S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5</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VS5</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5</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G01-RR6-2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VP05S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5</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HP03LU</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G01-RR6-3</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EF19E8" w:rsidRDefault="00891458" w:rsidP="00912FF5">
            <w:pPr>
              <w:spacing w:after="0"/>
              <w:jc w:val="center"/>
              <w:rPr>
                <w:rFonts w:ascii="Calibri" w:hAnsi="Calibri"/>
              </w:rPr>
            </w:pPr>
            <w:r w:rsidRPr="00EF19E8">
              <w:rPr>
                <w:rFonts w:ascii="Calibri" w:hAnsi="Calibri"/>
              </w:rPr>
              <w:t>HP03LU</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7</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VP03LU</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G01-RR6-3</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VP03LU</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7</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p>
        </w:tc>
      </w:tr>
      <w:tr w:rsidR="00891458" w:rsidRPr="0015692B" w:rsidTr="00891458">
        <w:tblPrEx>
          <w:shd w:val="clear" w:color="auto" w:fill="auto"/>
        </w:tblPrEx>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G01-RR6-1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p>
        </w:tc>
      </w:tr>
    </w:tbl>
    <w:p w:rsidR="00891458" w:rsidRDefault="00891458">
      <w:r>
        <w:br w:type="page"/>
      </w:r>
    </w:p>
    <w:p w:rsidR="00891458" w:rsidRDefault="00891458" w:rsidP="00891458">
      <w:pPr>
        <w:pBdr>
          <w:top w:val="single" w:sz="12" w:space="1" w:color="auto"/>
          <w:left w:val="single" w:sz="12" w:space="4" w:color="auto"/>
          <w:bottom w:val="single" w:sz="12" w:space="1" w:color="auto"/>
          <w:right w:val="single" w:sz="12" w:space="4" w:color="auto"/>
        </w:pBdr>
        <w:spacing w:before="120" w:after="120"/>
      </w:pPr>
      <w:r>
        <w:lastRenderedPageBreak/>
        <w:t>VME Crate: BBPM21</w:t>
      </w:r>
    </w:p>
    <w:tbl>
      <w:tblPr>
        <w:tblW w:w="6405" w:type="dxa"/>
        <w:tblInd w:w="93" w:type="dxa"/>
        <w:shd w:val="clear" w:color="000000" w:fill="auto"/>
        <w:tblLayout w:type="fixed"/>
        <w:tblLook w:val="04A0" w:firstRow="1" w:lastRow="0" w:firstColumn="1" w:lastColumn="0" w:noHBand="0" w:noVBand="1"/>
      </w:tblPr>
      <w:tblGrid>
        <w:gridCol w:w="1006"/>
        <w:gridCol w:w="900"/>
        <w:gridCol w:w="1440"/>
        <w:gridCol w:w="1080"/>
        <w:gridCol w:w="989"/>
        <w:gridCol w:w="990"/>
      </w:tblGrid>
      <w:tr w:rsidR="00891458" w:rsidRPr="0015692B" w:rsidTr="00891458">
        <w:trPr>
          <w:trHeight w:val="300"/>
        </w:trPr>
        <w:tc>
          <w:tcPr>
            <w:tcW w:w="1006"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rPr>
            </w:pPr>
            <w:r w:rsidRPr="00F2132F">
              <w:rPr>
                <w:rFonts w:ascii="Calibri" w:eastAsia="Times New Roman" w:hAnsi="Calibri"/>
              </w:rPr>
              <w:t>Name</w:t>
            </w:r>
          </w:p>
        </w:tc>
        <w:tc>
          <w:tcPr>
            <w:tcW w:w="90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rPr>
            </w:pPr>
            <w:r w:rsidRPr="00F2132F">
              <w:rPr>
                <w:rFonts w:ascii="Calibri" w:eastAsia="Times New Roman" w:hAnsi="Calibri"/>
              </w:rPr>
              <w:t>Period</w:t>
            </w:r>
          </w:p>
        </w:tc>
        <w:tc>
          <w:tcPr>
            <w:tcW w:w="144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rPr>
            </w:pPr>
            <w:proofErr w:type="spellStart"/>
            <w:r w:rsidRPr="00F2132F">
              <w:rPr>
                <w:rFonts w:ascii="Calibri" w:eastAsia="Times New Roman" w:hAnsi="Calibri"/>
              </w:rPr>
              <w:t>Demod</w:t>
            </w:r>
            <w:proofErr w:type="spellEnd"/>
            <w:r w:rsidRPr="00F2132F">
              <w:rPr>
                <w:rFonts w:ascii="Calibri" w:eastAsia="Times New Roman" w:hAnsi="Calibri"/>
              </w:rPr>
              <w:t xml:space="preserve"> Rack #</w:t>
            </w:r>
          </w:p>
        </w:tc>
        <w:tc>
          <w:tcPr>
            <w:tcW w:w="108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rPr>
            </w:pPr>
            <w:r w:rsidRPr="00F2132F">
              <w:rPr>
                <w:rFonts w:ascii="Calibri" w:eastAsia="Times New Roman" w:hAnsi="Calibri"/>
              </w:rPr>
              <w:t>VME alias</w:t>
            </w:r>
          </w:p>
        </w:tc>
        <w:tc>
          <w:tcPr>
            <w:tcW w:w="989"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rPr>
            </w:pPr>
            <w:r>
              <w:rPr>
                <w:rFonts w:ascii="Calibri" w:eastAsia="Times New Roman" w:hAnsi="Calibri"/>
              </w:rPr>
              <w:t>VME MOD</w:t>
            </w:r>
          </w:p>
        </w:tc>
        <w:tc>
          <w:tcPr>
            <w:tcW w:w="99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color w:val="000000"/>
              </w:rPr>
            </w:pPr>
            <w:r>
              <w:rPr>
                <w:rFonts w:ascii="Calibri" w:eastAsia="Times New Roman" w:hAnsi="Calibri"/>
                <w:color w:val="000000"/>
              </w:rPr>
              <w:t xml:space="preserve">VME </w:t>
            </w:r>
            <w:r w:rsidRPr="00F2132F">
              <w:rPr>
                <w:rFonts w:ascii="Calibri" w:eastAsia="Times New Roman" w:hAnsi="Calibri"/>
                <w:color w:val="000000"/>
              </w:rPr>
              <w:t>CHAN</w:t>
            </w:r>
          </w:p>
        </w:tc>
      </w:tr>
      <w:tr w:rsidR="00891458" w:rsidRPr="0015692B" w:rsidTr="00891458">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HL21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HP21L</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color w:val="000000"/>
              </w:rPr>
            </w:pPr>
            <w:r w:rsidRPr="00B97D3A">
              <w:rPr>
                <w:rFonts w:ascii="Calibri" w:eastAsia="Times New Roman" w:hAnsi="Calibri"/>
                <w:color w:val="000000"/>
              </w:rPr>
              <w:t>0</w:t>
            </w:r>
          </w:p>
        </w:tc>
      </w:tr>
      <w:tr w:rsidR="00891458" w:rsidRPr="0015692B" w:rsidTr="00891458">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VL21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VP21L</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color w:val="000000"/>
              </w:rPr>
            </w:pPr>
            <w:r w:rsidRPr="00B97D3A">
              <w:rPr>
                <w:rFonts w:ascii="Calibri" w:eastAsia="Times New Roman" w:hAnsi="Calibri"/>
                <w:color w:val="000000"/>
              </w:rPr>
              <w:t>1</w:t>
            </w:r>
          </w:p>
        </w:tc>
      </w:tr>
      <w:tr w:rsidR="00891458" w:rsidRPr="0015692B" w:rsidTr="00891458">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HS21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HP21S</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color w:val="000000"/>
              </w:rPr>
            </w:pPr>
            <w:r w:rsidRPr="00B97D3A">
              <w:rPr>
                <w:rFonts w:ascii="Calibri" w:eastAsia="Times New Roman" w:hAnsi="Calibri"/>
                <w:color w:val="000000"/>
              </w:rPr>
              <w:t>2</w:t>
            </w:r>
          </w:p>
        </w:tc>
      </w:tr>
      <w:tr w:rsidR="00891458" w:rsidRPr="0015692B" w:rsidTr="00891458">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VS21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VP21S</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color w:val="000000"/>
              </w:rPr>
            </w:pPr>
            <w:r w:rsidRPr="00B97D3A">
              <w:rPr>
                <w:rFonts w:ascii="Calibri" w:eastAsia="Times New Roman" w:hAnsi="Calibri"/>
                <w:color w:val="000000"/>
              </w:rPr>
              <w:t>3</w:t>
            </w:r>
          </w:p>
        </w:tc>
      </w:tr>
      <w:tr w:rsidR="00891458" w:rsidRPr="0015692B" w:rsidTr="00891458">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HL22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HP22L</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color w:val="000000"/>
              </w:rPr>
            </w:pPr>
            <w:r w:rsidRPr="00B97D3A">
              <w:rPr>
                <w:rFonts w:ascii="Calibri" w:eastAsia="Times New Roman" w:hAnsi="Calibri"/>
                <w:color w:val="000000"/>
              </w:rPr>
              <w:t>0</w:t>
            </w:r>
          </w:p>
        </w:tc>
      </w:tr>
      <w:tr w:rsidR="00891458" w:rsidRPr="0015692B" w:rsidTr="00891458">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VL22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VP22L</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color w:val="000000"/>
              </w:rPr>
            </w:pPr>
            <w:r w:rsidRPr="00B97D3A">
              <w:rPr>
                <w:rFonts w:ascii="Calibri" w:eastAsia="Times New Roman" w:hAnsi="Calibri"/>
                <w:color w:val="000000"/>
              </w:rPr>
              <w:t>1</w:t>
            </w:r>
          </w:p>
        </w:tc>
      </w:tr>
      <w:tr w:rsidR="00891458" w:rsidRPr="0015692B" w:rsidTr="00891458">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HS22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HP22S</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color w:val="000000"/>
              </w:rPr>
            </w:pPr>
            <w:r w:rsidRPr="00B97D3A">
              <w:rPr>
                <w:rFonts w:ascii="Calibri" w:eastAsia="Times New Roman" w:hAnsi="Calibri"/>
                <w:color w:val="000000"/>
              </w:rPr>
              <w:t>2</w:t>
            </w:r>
          </w:p>
        </w:tc>
      </w:tr>
      <w:tr w:rsidR="00891458" w:rsidRPr="0015692B" w:rsidTr="00891458">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VS22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VP22S</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color w:val="000000"/>
              </w:rPr>
            </w:pPr>
            <w:r w:rsidRPr="00B97D3A">
              <w:rPr>
                <w:rFonts w:ascii="Calibri" w:eastAsia="Times New Roman" w:hAnsi="Calibri"/>
                <w:color w:val="000000"/>
              </w:rPr>
              <w:t>3</w:t>
            </w:r>
          </w:p>
        </w:tc>
      </w:tr>
      <w:tr w:rsidR="00891458" w:rsidRPr="0015692B" w:rsidTr="00891458">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HL23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HP23L</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color w:val="000000"/>
              </w:rPr>
            </w:pPr>
            <w:r w:rsidRPr="00B97D3A">
              <w:rPr>
                <w:rFonts w:ascii="Calibri" w:eastAsia="Times New Roman" w:hAnsi="Calibri"/>
                <w:color w:val="000000"/>
              </w:rPr>
              <w:t>0</w:t>
            </w:r>
          </w:p>
        </w:tc>
      </w:tr>
      <w:tr w:rsidR="00891458" w:rsidRPr="0015692B" w:rsidTr="00891458">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VL23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VP23L</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color w:val="000000"/>
              </w:rPr>
            </w:pPr>
            <w:r w:rsidRPr="00B97D3A">
              <w:rPr>
                <w:rFonts w:ascii="Calibri" w:eastAsia="Times New Roman" w:hAnsi="Calibri"/>
                <w:color w:val="000000"/>
              </w:rPr>
              <w:t>1</w:t>
            </w:r>
          </w:p>
        </w:tc>
      </w:tr>
      <w:tr w:rsidR="00891458" w:rsidRPr="0015692B" w:rsidTr="00891458">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HS23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HP23S</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color w:val="000000"/>
              </w:rPr>
            </w:pPr>
            <w:r w:rsidRPr="00B97D3A">
              <w:rPr>
                <w:rFonts w:ascii="Calibri" w:eastAsia="Times New Roman" w:hAnsi="Calibri"/>
                <w:color w:val="000000"/>
              </w:rPr>
              <w:t>2</w:t>
            </w:r>
          </w:p>
        </w:tc>
      </w:tr>
      <w:tr w:rsidR="00891458" w:rsidRPr="0015692B" w:rsidTr="00891458">
        <w:trPr>
          <w:trHeight w:val="300"/>
        </w:trPr>
        <w:tc>
          <w:tcPr>
            <w:tcW w:w="100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VS23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21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G21-RR5-2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VP23S</w:t>
            </w:r>
          </w:p>
        </w:tc>
        <w:tc>
          <w:tcPr>
            <w:tcW w:w="989"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rPr>
            </w:pPr>
            <w:r w:rsidRPr="00B97D3A">
              <w:rPr>
                <w:rFonts w:ascii="Calibri" w:eastAsia="Times New Roman" w:hAnsi="Calibri"/>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B97D3A" w:rsidRDefault="00891458" w:rsidP="00912FF5">
            <w:pPr>
              <w:spacing w:after="0" w:line="240" w:lineRule="auto"/>
              <w:jc w:val="center"/>
              <w:rPr>
                <w:rFonts w:ascii="Calibri" w:eastAsia="Times New Roman" w:hAnsi="Calibri"/>
                <w:color w:val="000000"/>
              </w:rPr>
            </w:pPr>
            <w:r w:rsidRPr="00B97D3A">
              <w:rPr>
                <w:rFonts w:ascii="Calibri" w:eastAsia="Times New Roman" w:hAnsi="Calibri"/>
                <w:color w:val="000000"/>
              </w:rPr>
              <w:t>3</w:t>
            </w:r>
          </w:p>
        </w:tc>
      </w:tr>
    </w:tbl>
    <w:p w:rsidR="00891458" w:rsidRDefault="00891458" w:rsidP="00891458">
      <w:pPr>
        <w:pBdr>
          <w:top w:val="single" w:sz="12" w:space="1" w:color="auto"/>
          <w:left w:val="single" w:sz="12" w:space="4" w:color="auto"/>
          <w:bottom w:val="single" w:sz="12" w:space="1" w:color="auto"/>
          <w:right w:val="single" w:sz="12" w:space="4" w:color="auto"/>
        </w:pBdr>
        <w:spacing w:before="120" w:after="120"/>
      </w:pPr>
      <w:r>
        <w:t>VME Crate: BBPM18</w:t>
      </w:r>
    </w:p>
    <w:tbl>
      <w:tblPr>
        <w:tblW w:w="7485" w:type="dxa"/>
        <w:tblInd w:w="93" w:type="dxa"/>
        <w:shd w:val="clear" w:color="000000" w:fill="auto"/>
        <w:tblLayout w:type="fixed"/>
        <w:tblLook w:val="04A0" w:firstRow="1" w:lastRow="0" w:firstColumn="1" w:lastColumn="0" w:noHBand="0" w:noVBand="1"/>
      </w:tblPr>
      <w:tblGrid>
        <w:gridCol w:w="1005"/>
        <w:gridCol w:w="900"/>
        <w:gridCol w:w="2520"/>
        <w:gridCol w:w="1080"/>
        <w:gridCol w:w="990"/>
        <w:gridCol w:w="990"/>
      </w:tblGrid>
      <w:tr w:rsidR="00891458" w:rsidRPr="0015692B" w:rsidTr="00891458">
        <w:trPr>
          <w:trHeight w:val="300"/>
        </w:trPr>
        <w:tc>
          <w:tcPr>
            <w:tcW w:w="1005"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rPr>
            </w:pPr>
            <w:r w:rsidRPr="00F2132F">
              <w:rPr>
                <w:rFonts w:ascii="Calibri" w:eastAsia="Times New Roman" w:hAnsi="Calibri"/>
              </w:rPr>
              <w:t>Name</w:t>
            </w:r>
          </w:p>
        </w:tc>
        <w:tc>
          <w:tcPr>
            <w:tcW w:w="90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rPr>
            </w:pPr>
            <w:r w:rsidRPr="00F2132F">
              <w:rPr>
                <w:rFonts w:ascii="Calibri" w:eastAsia="Times New Roman" w:hAnsi="Calibri"/>
              </w:rPr>
              <w:t>Period</w:t>
            </w:r>
          </w:p>
        </w:tc>
        <w:tc>
          <w:tcPr>
            <w:tcW w:w="252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rPr>
            </w:pPr>
            <w:proofErr w:type="spellStart"/>
            <w:r w:rsidRPr="00F2132F">
              <w:rPr>
                <w:rFonts w:ascii="Calibri" w:eastAsia="Times New Roman" w:hAnsi="Calibri"/>
              </w:rPr>
              <w:t>Demod</w:t>
            </w:r>
            <w:proofErr w:type="spellEnd"/>
            <w:r w:rsidRPr="00F2132F">
              <w:rPr>
                <w:rFonts w:ascii="Calibri" w:eastAsia="Times New Roman" w:hAnsi="Calibri"/>
              </w:rPr>
              <w:t xml:space="preserve"> Rack #</w:t>
            </w:r>
          </w:p>
        </w:tc>
        <w:tc>
          <w:tcPr>
            <w:tcW w:w="108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rPr>
            </w:pPr>
            <w:r w:rsidRPr="00F2132F">
              <w:rPr>
                <w:rFonts w:ascii="Calibri" w:eastAsia="Times New Roman" w:hAnsi="Calibri"/>
              </w:rPr>
              <w:t>VME alias</w:t>
            </w:r>
          </w:p>
        </w:tc>
        <w:tc>
          <w:tcPr>
            <w:tcW w:w="99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rPr>
            </w:pPr>
            <w:r>
              <w:rPr>
                <w:rFonts w:ascii="Calibri" w:eastAsia="Times New Roman" w:hAnsi="Calibri"/>
              </w:rPr>
              <w:t>VME MOD</w:t>
            </w:r>
          </w:p>
        </w:tc>
        <w:tc>
          <w:tcPr>
            <w:tcW w:w="99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color w:val="000000"/>
              </w:rPr>
            </w:pPr>
            <w:r>
              <w:rPr>
                <w:rFonts w:ascii="Calibri" w:eastAsia="Times New Roman" w:hAnsi="Calibri"/>
                <w:color w:val="000000"/>
              </w:rPr>
              <w:t xml:space="preserve">VME </w:t>
            </w:r>
            <w:r w:rsidRPr="00F2132F">
              <w:rPr>
                <w:rFonts w:ascii="Calibri" w:eastAsia="Times New Roman" w:hAnsi="Calibri"/>
                <w:color w:val="000000"/>
              </w:rPr>
              <w:t>CHAN</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HL18</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18</w:t>
            </w:r>
          </w:p>
        </w:tc>
        <w:tc>
          <w:tcPr>
            <w:tcW w:w="252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HP18L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VL18</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18</w:t>
            </w:r>
          </w:p>
        </w:tc>
        <w:tc>
          <w:tcPr>
            <w:tcW w:w="252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VP18L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HS18</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18</w:t>
            </w:r>
          </w:p>
        </w:tc>
        <w:tc>
          <w:tcPr>
            <w:tcW w:w="252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HP18S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VS18</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18</w:t>
            </w:r>
          </w:p>
        </w:tc>
        <w:tc>
          <w:tcPr>
            <w:tcW w:w="252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VP18S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HL19</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18</w:t>
            </w:r>
          </w:p>
        </w:tc>
        <w:tc>
          <w:tcPr>
            <w:tcW w:w="252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HP19L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VL19</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18</w:t>
            </w:r>
          </w:p>
        </w:tc>
        <w:tc>
          <w:tcPr>
            <w:tcW w:w="252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VP19L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HS19</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18</w:t>
            </w:r>
          </w:p>
        </w:tc>
        <w:tc>
          <w:tcPr>
            <w:tcW w:w="252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HP19S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VS19</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18</w:t>
            </w:r>
          </w:p>
        </w:tc>
        <w:tc>
          <w:tcPr>
            <w:tcW w:w="252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VP19S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HL20</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18</w:t>
            </w:r>
          </w:p>
        </w:tc>
        <w:tc>
          <w:tcPr>
            <w:tcW w:w="252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HP20L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VL20</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18</w:t>
            </w:r>
          </w:p>
        </w:tc>
        <w:tc>
          <w:tcPr>
            <w:tcW w:w="252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VP20L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rPr>
            </w:pPr>
            <w:r w:rsidRPr="0015692B">
              <w:rPr>
                <w:rFonts w:ascii="Calibri" w:hAnsi="Calibri"/>
              </w:rPr>
              <w:t>HS20</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rPr>
            </w:pPr>
            <w:r w:rsidRPr="0015692B">
              <w:rPr>
                <w:rFonts w:ascii="Calibri" w:hAnsi="Calibri"/>
              </w:rPr>
              <w:t>18</w:t>
            </w:r>
          </w:p>
        </w:tc>
        <w:tc>
          <w:tcPr>
            <w:tcW w:w="252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rPr>
            </w:pPr>
            <w:r w:rsidRPr="0015692B">
              <w:rPr>
                <w:rFonts w:ascii="Calibri" w:hAnsi="Calibri"/>
              </w:rPr>
              <w:t>HP20S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rPr>
            </w:pPr>
            <w:r w:rsidRPr="0015692B">
              <w:rPr>
                <w:rFonts w:ascii="Calibri" w:hAnsi="Calibri"/>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rPr>
            </w:pPr>
            <w:r w:rsidRPr="0015692B">
              <w:rPr>
                <w:rFonts w:ascii="Calibri" w:hAnsi="Calibri"/>
              </w:rPr>
              <w:t>2</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rPr>
            </w:pPr>
            <w:r w:rsidRPr="0015692B">
              <w:rPr>
                <w:rFonts w:ascii="Calibri" w:hAnsi="Calibri"/>
              </w:rPr>
              <w:t>VS20</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rPr>
            </w:pPr>
            <w:r w:rsidRPr="0015692B">
              <w:rPr>
                <w:rFonts w:ascii="Calibri" w:hAnsi="Calibri"/>
              </w:rPr>
              <w:t>18</w:t>
            </w:r>
          </w:p>
        </w:tc>
        <w:tc>
          <w:tcPr>
            <w:tcW w:w="252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 xml:space="preserve">P. 18-20 </w:t>
            </w:r>
            <w:r w:rsidRPr="009933A3">
              <w:rPr>
                <w:rFonts w:ascii="Calibri" w:hAnsi="Calibri"/>
                <w:sz w:val="20"/>
                <w:szCs w:val="20"/>
              </w:rPr>
              <w:t>(BGW-North)</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rPr>
            </w:pPr>
            <w:r w:rsidRPr="0015692B">
              <w:rPr>
                <w:rFonts w:ascii="Calibri" w:hAnsi="Calibri"/>
              </w:rPr>
              <w:t>VP20S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rPr>
            </w:pPr>
            <w:r w:rsidRPr="0015692B">
              <w:rPr>
                <w:rFonts w:ascii="Calibri" w:hAnsi="Calibri"/>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rPr>
            </w:pPr>
            <w:r w:rsidRPr="0015692B">
              <w:rPr>
                <w:rFonts w:ascii="Calibri" w:hAnsi="Calibri"/>
              </w:rPr>
              <w:t>3</w:t>
            </w:r>
          </w:p>
        </w:tc>
      </w:tr>
    </w:tbl>
    <w:p w:rsidR="00891458" w:rsidRDefault="00891458">
      <w:r>
        <w:br w:type="page"/>
      </w:r>
    </w:p>
    <w:p w:rsidR="00891458" w:rsidRDefault="00891458" w:rsidP="00891458">
      <w:pPr>
        <w:pBdr>
          <w:top w:val="single" w:sz="12" w:space="1" w:color="auto"/>
          <w:left w:val="single" w:sz="12" w:space="4" w:color="auto"/>
          <w:bottom w:val="single" w:sz="12" w:space="1" w:color="auto"/>
          <w:right w:val="single" w:sz="12" w:space="4" w:color="auto"/>
        </w:pBdr>
        <w:spacing w:before="120" w:after="120"/>
      </w:pPr>
      <w:r>
        <w:lastRenderedPageBreak/>
        <w:t>VME Crate: BBPM15</w:t>
      </w:r>
    </w:p>
    <w:tbl>
      <w:tblPr>
        <w:tblW w:w="6405" w:type="dxa"/>
        <w:tblInd w:w="93" w:type="dxa"/>
        <w:shd w:val="clear" w:color="000000" w:fill="auto"/>
        <w:tblLayout w:type="fixed"/>
        <w:tblLook w:val="04A0" w:firstRow="1" w:lastRow="0" w:firstColumn="1" w:lastColumn="0" w:noHBand="0" w:noVBand="1"/>
      </w:tblPr>
      <w:tblGrid>
        <w:gridCol w:w="1005"/>
        <w:gridCol w:w="900"/>
        <w:gridCol w:w="1440"/>
        <w:gridCol w:w="1080"/>
        <w:gridCol w:w="990"/>
        <w:gridCol w:w="990"/>
      </w:tblGrid>
      <w:tr w:rsidR="00891458" w:rsidRPr="0015692B" w:rsidTr="00891458">
        <w:trPr>
          <w:trHeight w:val="300"/>
        </w:trPr>
        <w:tc>
          <w:tcPr>
            <w:tcW w:w="1005"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rPr>
            </w:pPr>
            <w:r w:rsidRPr="00F2132F">
              <w:rPr>
                <w:rFonts w:ascii="Calibri" w:eastAsia="Times New Roman" w:hAnsi="Calibri"/>
              </w:rPr>
              <w:t>Name</w:t>
            </w:r>
          </w:p>
        </w:tc>
        <w:tc>
          <w:tcPr>
            <w:tcW w:w="90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rPr>
            </w:pPr>
            <w:r w:rsidRPr="00F2132F">
              <w:rPr>
                <w:rFonts w:ascii="Calibri" w:eastAsia="Times New Roman" w:hAnsi="Calibri"/>
              </w:rPr>
              <w:t>Period</w:t>
            </w:r>
          </w:p>
        </w:tc>
        <w:tc>
          <w:tcPr>
            <w:tcW w:w="144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rPr>
            </w:pPr>
            <w:proofErr w:type="spellStart"/>
            <w:r w:rsidRPr="00F2132F">
              <w:rPr>
                <w:rFonts w:ascii="Calibri" w:eastAsia="Times New Roman" w:hAnsi="Calibri"/>
              </w:rPr>
              <w:t>Demod</w:t>
            </w:r>
            <w:proofErr w:type="spellEnd"/>
            <w:r w:rsidRPr="00F2132F">
              <w:rPr>
                <w:rFonts w:ascii="Calibri" w:eastAsia="Times New Roman" w:hAnsi="Calibri"/>
              </w:rPr>
              <w:t xml:space="preserve"> Rack #</w:t>
            </w:r>
          </w:p>
        </w:tc>
        <w:tc>
          <w:tcPr>
            <w:tcW w:w="108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rPr>
            </w:pPr>
            <w:r w:rsidRPr="00F2132F">
              <w:rPr>
                <w:rFonts w:ascii="Calibri" w:eastAsia="Times New Roman" w:hAnsi="Calibri"/>
              </w:rPr>
              <w:t>VME alias</w:t>
            </w:r>
          </w:p>
        </w:tc>
        <w:tc>
          <w:tcPr>
            <w:tcW w:w="99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rPr>
            </w:pPr>
            <w:r>
              <w:rPr>
                <w:rFonts w:ascii="Calibri" w:eastAsia="Times New Roman" w:hAnsi="Calibri"/>
              </w:rPr>
              <w:t>VME MOD</w:t>
            </w:r>
          </w:p>
        </w:tc>
        <w:tc>
          <w:tcPr>
            <w:tcW w:w="99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color w:val="000000"/>
              </w:rPr>
            </w:pPr>
            <w:r>
              <w:rPr>
                <w:rFonts w:ascii="Calibri" w:eastAsia="Times New Roman" w:hAnsi="Calibri"/>
                <w:color w:val="000000"/>
              </w:rPr>
              <w:t xml:space="preserve">VME </w:t>
            </w:r>
            <w:r w:rsidRPr="00F2132F">
              <w:rPr>
                <w:rFonts w:ascii="Calibri" w:eastAsia="Times New Roman" w:hAnsi="Calibri"/>
                <w:color w:val="000000"/>
              </w:rPr>
              <w:t>CHAN</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HL15</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HP15L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VL15</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VP15L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HS15</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HP15S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VS15</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VP15S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HL16</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HP16L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VL16</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VP16L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HS16</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HP16S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VS16</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VP16S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HL17</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HP17L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VL17</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VP17L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HS17</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HP17S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VS17</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17</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G17-RR2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VP17S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r>
    </w:tbl>
    <w:p w:rsidR="00891458" w:rsidRDefault="00891458" w:rsidP="00891458">
      <w:pPr>
        <w:pBdr>
          <w:top w:val="single" w:sz="12" w:space="1" w:color="auto"/>
          <w:left w:val="single" w:sz="12" w:space="4" w:color="auto"/>
          <w:bottom w:val="single" w:sz="12" w:space="1" w:color="auto"/>
          <w:right w:val="single" w:sz="12" w:space="4" w:color="auto"/>
        </w:pBdr>
        <w:spacing w:before="120" w:after="120"/>
      </w:pPr>
      <w:r>
        <w:t>VME Crate: BBPM12</w:t>
      </w:r>
    </w:p>
    <w:tbl>
      <w:tblPr>
        <w:tblW w:w="6405" w:type="dxa"/>
        <w:tblInd w:w="93" w:type="dxa"/>
        <w:shd w:val="clear" w:color="000000" w:fill="auto"/>
        <w:tblLayout w:type="fixed"/>
        <w:tblLook w:val="04A0" w:firstRow="1" w:lastRow="0" w:firstColumn="1" w:lastColumn="0" w:noHBand="0" w:noVBand="1"/>
      </w:tblPr>
      <w:tblGrid>
        <w:gridCol w:w="1005"/>
        <w:gridCol w:w="900"/>
        <w:gridCol w:w="1440"/>
        <w:gridCol w:w="1080"/>
        <w:gridCol w:w="990"/>
        <w:gridCol w:w="990"/>
      </w:tblGrid>
      <w:tr w:rsidR="00891458" w:rsidRPr="0015692B" w:rsidTr="00891458">
        <w:trPr>
          <w:trHeight w:val="300"/>
        </w:trPr>
        <w:tc>
          <w:tcPr>
            <w:tcW w:w="1005"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rPr>
            </w:pPr>
            <w:r w:rsidRPr="00F2132F">
              <w:rPr>
                <w:rFonts w:ascii="Calibri" w:eastAsia="Times New Roman" w:hAnsi="Calibri"/>
              </w:rPr>
              <w:t>Name</w:t>
            </w:r>
          </w:p>
        </w:tc>
        <w:tc>
          <w:tcPr>
            <w:tcW w:w="90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rPr>
            </w:pPr>
            <w:r w:rsidRPr="00F2132F">
              <w:rPr>
                <w:rFonts w:ascii="Calibri" w:eastAsia="Times New Roman" w:hAnsi="Calibri"/>
              </w:rPr>
              <w:t>Period</w:t>
            </w:r>
          </w:p>
        </w:tc>
        <w:tc>
          <w:tcPr>
            <w:tcW w:w="144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rPr>
            </w:pPr>
            <w:proofErr w:type="spellStart"/>
            <w:r w:rsidRPr="00F2132F">
              <w:rPr>
                <w:rFonts w:ascii="Calibri" w:eastAsia="Times New Roman" w:hAnsi="Calibri"/>
              </w:rPr>
              <w:t>Demod</w:t>
            </w:r>
            <w:proofErr w:type="spellEnd"/>
            <w:r w:rsidRPr="00F2132F">
              <w:rPr>
                <w:rFonts w:ascii="Calibri" w:eastAsia="Times New Roman" w:hAnsi="Calibri"/>
              </w:rPr>
              <w:t xml:space="preserve"> Rack #</w:t>
            </w:r>
          </w:p>
        </w:tc>
        <w:tc>
          <w:tcPr>
            <w:tcW w:w="108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rPr>
            </w:pPr>
            <w:r w:rsidRPr="00F2132F">
              <w:rPr>
                <w:rFonts w:ascii="Calibri" w:eastAsia="Times New Roman" w:hAnsi="Calibri"/>
              </w:rPr>
              <w:t>VME alias</w:t>
            </w:r>
          </w:p>
        </w:tc>
        <w:tc>
          <w:tcPr>
            <w:tcW w:w="99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rPr>
            </w:pPr>
            <w:r>
              <w:rPr>
                <w:rFonts w:ascii="Calibri" w:eastAsia="Times New Roman" w:hAnsi="Calibri"/>
              </w:rPr>
              <w:t>VME MOD</w:t>
            </w:r>
          </w:p>
        </w:tc>
        <w:tc>
          <w:tcPr>
            <w:tcW w:w="99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color w:val="000000"/>
              </w:rPr>
            </w:pPr>
            <w:r>
              <w:rPr>
                <w:rFonts w:ascii="Calibri" w:eastAsia="Times New Roman" w:hAnsi="Calibri"/>
                <w:color w:val="000000"/>
              </w:rPr>
              <w:t xml:space="preserve">VME </w:t>
            </w:r>
            <w:r w:rsidRPr="00F2132F">
              <w:rPr>
                <w:rFonts w:ascii="Calibri" w:eastAsia="Times New Roman" w:hAnsi="Calibri"/>
                <w:color w:val="000000"/>
              </w:rPr>
              <w:t>CHAN</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HL12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HP12L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VL12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VP12L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HS12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HP12S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VS12</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VP12S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HL13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HP13L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VL13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VP13L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HS13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HP13S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VS13</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VP13S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HL14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HP14L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VL14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VP14L</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HS14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HP14S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VS14</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14</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G14-RR1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VP14S</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c>
          <w:tcPr>
            <w:tcW w:w="99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r>
    </w:tbl>
    <w:p w:rsidR="00891458" w:rsidRDefault="00891458">
      <w:r>
        <w:br w:type="page"/>
      </w:r>
    </w:p>
    <w:p w:rsidR="00891458" w:rsidRDefault="00891458" w:rsidP="00891458">
      <w:pPr>
        <w:pBdr>
          <w:top w:val="single" w:sz="12" w:space="1" w:color="auto"/>
          <w:left w:val="single" w:sz="12" w:space="4" w:color="auto"/>
          <w:bottom w:val="single" w:sz="12" w:space="1" w:color="auto"/>
          <w:right w:val="single" w:sz="12" w:space="4" w:color="auto"/>
        </w:pBdr>
        <w:spacing w:before="120" w:after="120"/>
      </w:pPr>
      <w:r>
        <w:lastRenderedPageBreak/>
        <w:t>VME Crate: BBPM06</w:t>
      </w:r>
    </w:p>
    <w:tbl>
      <w:tblPr>
        <w:tblW w:w="6405" w:type="dxa"/>
        <w:tblInd w:w="93" w:type="dxa"/>
        <w:shd w:val="clear" w:color="000000" w:fill="auto"/>
        <w:tblLayout w:type="fixed"/>
        <w:tblLook w:val="04A0" w:firstRow="1" w:lastRow="0" w:firstColumn="1" w:lastColumn="0" w:noHBand="0" w:noVBand="1"/>
      </w:tblPr>
      <w:tblGrid>
        <w:gridCol w:w="1005"/>
        <w:gridCol w:w="900"/>
        <w:gridCol w:w="1440"/>
        <w:gridCol w:w="1080"/>
        <w:gridCol w:w="990"/>
        <w:gridCol w:w="44"/>
        <w:gridCol w:w="946"/>
      </w:tblGrid>
      <w:tr w:rsidR="00891458" w:rsidRPr="0015692B" w:rsidTr="00891458">
        <w:trPr>
          <w:trHeight w:val="300"/>
        </w:trPr>
        <w:tc>
          <w:tcPr>
            <w:tcW w:w="1005"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rPr>
            </w:pPr>
            <w:r w:rsidRPr="00F2132F">
              <w:rPr>
                <w:rFonts w:ascii="Calibri" w:eastAsia="Times New Roman" w:hAnsi="Calibri"/>
              </w:rPr>
              <w:t>Name</w:t>
            </w:r>
          </w:p>
        </w:tc>
        <w:tc>
          <w:tcPr>
            <w:tcW w:w="90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rPr>
            </w:pPr>
            <w:r w:rsidRPr="00F2132F">
              <w:rPr>
                <w:rFonts w:ascii="Calibri" w:eastAsia="Times New Roman" w:hAnsi="Calibri"/>
              </w:rPr>
              <w:t>Period</w:t>
            </w:r>
          </w:p>
        </w:tc>
        <w:tc>
          <w:tcPr>
            <w:tcW w:w="144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rPr>
            </w:pPr>
            <w:proofErr w:type="spellStart"/>
            <w:r w:rsidRPr="00F2132F">
              <w:rPr>
                <w:rFonts w:ascii="Calibri" w:eastAsia="Times New Roman" w:hAnsi="Calibri"/>
              </w:rPr>
              <w:t>Demod</w:t>
            </w:r>
            <w:proofErr w:type="spellEnd"/>
            <w:r w:rsidRPr="00F2132F">
              <w:rPr>
                <w:rFonts w:ascii="Calibri" w:eastAsia="Times New Roman" w:hAnsi="Calibri"/>
              </w:rPr>
              <w:t xml:space="preserve"> Rack #</w:t>
            </w:r>
          </w:p>
        </w:tc>
        <w:tc>
          <w:tcPr>
            <w:tcW w:w="108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rPr>
            </w:pPr>
            <w:r w:rsidRPr="00F2132F">
              <w:rPr>
                <w:rFonts w:ascii="Calibri" w:eastAsia="Times New Roman" w:hAnsi="Calibri"/>
              </w:rPr>
              <w:t>VME alias</w:t>
            </w:r>
          </w:p>
        </w:tc>
        <w:tc>
          <w:tcPr>
            <w:tcW w:w="990" w:type="dxa"/>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rPr>
            </w:pPr>
            <w:r>
              <w:rPr>
                <w:rFonts w:ascii="Calibri" w:eastAsia="Times New Roman" w:hAnsi="Calibri"/>
              </w:rPr>
              <w:t>VME MOD</w:t>
            </w:r>
          </w:p>
        </w:tc>
        <w:tc>
          <w:tcPr>
            <w:tcW w:w="990" w:type="dxa"/>
            <w:gridSpan w:val="2"/>
            <w:tcBorders>
              <w:top w:val="single" w:sz="12" w:space="0" w:color="auto"/>
              <w:left w:val="single" w:sz="12" w:space="0" w:color="auto"/>
              <w:bottom w:val="single" w:sz="12" w:space="0" w:color="auto"/>
              <w:right w:val="single" w:sz="12" w:space="0" w:color="auto"/>
            </w:tcBorders>
            <w:shd w:val="clear" w:color="000000" w:fill="auto"/>
            <w:noWrap/>
            <w:hideMark/>
          </w:tcPr>
          <w:p w:rsidR="00891458" w:rsidRPr="00F2132F" w:rsidRDefault="00891458" w:rsidP="00912FF5">
            <w:pPr>
              <w:spacing w:after="0" w:line="240" w:lineRule="auto"/>
              <w:jc w:val="center"/>
              <w:rPr>
                <w:rFonts w:ascii="Calibri" w:eastAsia="Times New Roman" w:hAnsi="Calibri"/>
                <w:color w:val="000000"/>
              </w:rPr>
            </w:pPr>
            <w:r>
              <w:rPr>
                <w:rFonts w:ascii="Calibri" w:eastAsia="Times New Roman" w:hAnsi="Calibri"/>
                <w:color w:val="000000"/>
              </w:rPr>
              <w:t xml:space="preserve">VME </w:t>
            </w:r>
            <w:r w:rsidRPr="00F2132F">
              <w:rPr>
                <w:rFonts w:ascii="Calibri" w:eastAsia="Times New Roman" w:hAnsi="Calibri"/>
                <w:color w:val="000000"/>
              </w:rPr>
              <w:t>CHAN</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HL6</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HP06L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VL6</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VP06L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HS6</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HP06S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VS6</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VP06S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HL7</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HP07L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VL7</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VP07L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HS7</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HP07S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VS7</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VP07S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HL8</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HP08L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VL8</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VP08L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HS8</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HP08S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VS8</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G11-RR6-2</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VP08S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HL9</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HP09L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VL9</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VP09L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HS9</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HP09S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VS9</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VP09S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HL10</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HP10L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4</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VL10</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VP10L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4</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HS10</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HP10S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4</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VS10</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VP10S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4</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HL11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HP11L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5</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VL11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VP11L</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5</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HS11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HP11S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5</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VS11</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G11-RR6-1</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VP11S</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5</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HUL6</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G11-RR6-3</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HP06LU</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7</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0</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VUL6</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G11-RR6-3</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VP06LU</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7</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HUL7</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G11-RR6-3</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HP07LU</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7</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2</w:t>
            </w:r>
          </w:p>
        </w:tc>
      </w:tr>
      <w:tr w:rsidR="00891458" w:rsidRPr="0015692B" w:rsidTr="00891458">
        <w:trPr>
          <w:trHeight w:val="300"/>
        </w:trPr>
        <w:tc>
          <w:tcPr>
            <w:tcW w:w="1005"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VUL7</w:t>
            </w:r>
          </w:p>
        </w:tc>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11</w:t>
            </w:r>
          </w:p>
        </w:tc>
        <w:tc>
          <w:tcPr>
            <w:tcW w:w="144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G11-RR6-3</w:t>
            </w:r>
          </w:p>
        </w:tc>
        <w:tc>
          <w:tcPr>
            <w:tcW w:w="1080"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VP07LU</w:t>
            </w:r>
          </w:p>
        </w:tc>
        <w:tc>
          <w:tcPr>
            <w:tcW w:w="103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7</w:t>
            </w:r>
          </w:p>
        </w:tc>
        <w:tc>
          <w:tcPr>
            <w:tcW w:w="946" w:type="dxa"/>
            <w:tcBorders>
              <w:top w:val="single" w:sz="4" w:space="0" w:color="auto"/>
              <w:left w:val="single" w:sz="4" w:space="0" w:color="auto"/>
              <w:bottom w:val="single" w:sz="4" w:space="0" w:color="auto"/>
              <w:right w:val="single" w:sz="4" w:space="0" w:color="auto"/>
            </w:tcBorders>
            <w:shd w:val="clear" w:color="000000" w:fill="auto"/>
            <w:noWrap/>
            <w:hideMark/>
          </w:tcPr>
          <w:p w:rsidR="00891458" w:rsidRPr="0015692B" w:rsidRDefault="00891458" w:rsidP="00912FF5">
            <w:pPr>
              <w:spacing w:after="0"/>
              <w:jc w:val="center"/>
              <w:rPr>
                <w:rFonts w:ascii="Calibri" w:hAnsi="Calibri"/>
                <w:szCs w:val="24"/>
              </w:rPr>
            </w:pPr>
            <w:r w:rsidRPr="0015692B">
              <w:rPr>
                <w:rFonts w:ascii="Calibri" w:hAnsi="Calibri"/>
                <w:szCs w:val="24"/>
              </w:rPr>
              <w:t>3</w:t>
            </w:r>
          </w:p>
        </w:tc>
      </w:tr>
    </w:tbl>
    <w:p w:rsidR="00166169" w:rsidRDefault="00166169" w:rsidP="0047412D">
      <w:pPr>
        <w:pStyle w:val="Figure1"/>
      </w:pPr>
    </w:p>
    <w:sectPr w:rsidR="00166169" w:rsidSect="00502BB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9CE" w:rsidRDefault="00BC19CE" w:rsidP="00502BB1">
      <w:pPr>
        <w:spacing w:after="0" w:line="240" w:lineRule="auto"/>
      </w:pPr>
      <w:r>
        <w:separator/>
      </w:r>
    </w:p>
  </w:endnote>
  <w:endnote w:type="continuationSeparator" w:id="0">
    <w:p w:rsidR="00BC19CE" w:rsidRDefault="00BC19CE" w:rsidP="0050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551662"/>
      <w:docPartObj>
        <w:docPartGallery w:val="Page Numbers (Bottom of Page)"/>
        <w:docPartUnique/>
      </w:docPartObj>
    </w:sdtPr>
    <w:sdtEndPr>
      <w:rPr>
        <w:color w:val="7F7F7F" w:themeColor="background1" w:themeShade="7F"/>
        <w:spacing w:val="60"/>
      </w:rPr>
    </w:sdtEndPr>
    <w:sdtContent>
      <w:p w:rsidR="00BC19CE" w:rsidRDefault="00BC19CE">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5772">
          <w:rPr>
            <w:noProof/>
          </w:rPr>
          <w:t>ii</w:t>
        </w:r>
        <w:r>
          <w:rPr>
            <w:noProof/>
          </w:rPr>
          <w:fldChar w:fldCharType="end"/>
        </w:r>
        <w:r>
          <w:t xml:space="preserve"> | </w:t>
        </w:r>
        <w:r>
          <w:rPr>
            <w:color w:val="7F7F7F" w:themeColor="background1" w:themeShade="7F"/>
            <w:spacing w:val="60"/>
          </w:rPr>
          <w:t>Page</w:t>
        </w:r>
      </w:p>
    </w:sdtContent>
  </w:sdt>
  <w:p w:rsidR="00BC19CE" w:rsidRDefault="00BC1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9CE" w:rsidRDefault="00BC19CE" w:rsidP="00502BB1">
      <w:pPr>
        <w:spacing w:after="0" w:line="240" w:lineRule="auto"/>
      </w:pPr>
      <w:r>
        <w:separator/>
      </w:r>
    </w:p>
  </w:footnote>
  <w:footnote w:type="continuationSeparator" w:id="0">
    <w:p w:rsidR="00BC19CE" w:rsidRDefault="00BC19CE" w:rsidP="00502B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1AC3"/>
    <w:multiLevelType w:val="hybridMultilevel"/>
    <w:tmpl w:val="BEC2D0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73C1D"/>
    <w:multiLevelType w:val="hybridMultilevel"/>
    <w:tmpl w:val="CF463162"/>
    <w:lvl w:ilvl="0" w:tplc="C41ABCD8">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24D0E"/>
    <w:multiLevelType w:val="hybridMultilevel"/>
    <w:tmpl w:val="E01C1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60AA7"/>
    <w:multiLevelType w:val="hybridMultilevel"/>
    <w:tmpl w:val="807A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2CF5"/>
    <w:rsid w:val="00044D96"/>
    <w:rsid w:val="00080810"/>
    <w:rsid w:val="000A1363"/>
    <w:rsid w:val="000C324C"/>
    <w:rsid w:val="00104D1B"/>
    <w:rsid w:val="001220BB"/>
    <w:rsid w:val="00145271"/>
    <w:rsid w:val="00166169"/>
    <w:rsid w:val="001B5ED3"/>
    <w:rsid w:val="001D6099"/>
    <w:rsid w:val="001F3E46"/>
    <w:rsid w:val="00202A77"/>
    <w:rsid w:val="0025581B"/>
    <w:rsid w:val="00266CF5"/>
    <w:rsid w:val="00277DC7"/>
    <w:rsid w:val="00280C0B"/>
    <w:rsid w:val="002B5741"/>
    <w:rsid w:val="002C0C4F"/>
    <w:rsid w:val="002E3D71"/>
    <w:rsid w:val="002E7AED"/>
    <w:rsid w:val="002F62A9"/>
    <w:rsid w:val="00311E83"/>
    <w:rsid w:val="0031743C"/>
    <w:rsid w:val="0033476A"/>
    <w:rsid w:val="003736E8"/>
    <w:rsid w:val="003975CB"/>
    <w:rsid w:val="003A0E30"/>
    <w:rsid w:val="003D1E9D"/>
    <w:rsid w:val="003E0C40"/>
    <w:rsid w:val="00421447"/>
    <w:rsid w:val="0047412D"/>
    <w:rsid w:val="004802DC"/>
    <w:rsid w:val="004A05C6"/>
    <w:rsid w:val="004A4A3E"/>
    <w:rsid w:val="004C1798"/>
    <w:rsid w:val="004D1F54"/>
    <w:rsid w:val="004E46DF"/>
    <w:rsid w:val="004F35DB"/>
    <w:rsid w:val="00502BB1"/>
    <w:rsid w:val="005167AD"/>
    <w:rsid w:val="00517804"/>
    <w:rsid w:val="005366AF"/>
    <w:rsid w:val="005422B0"/>
    <w:rsid w:val="005449F2"/>
    <w:rsid w:val="00560D4D"/>
    <w:rsid w:val="005C40AA"/>
    <w:rsid w:val="005D1985"/>
    <w:rsid w:val="005D7E11"/>
    <w:rsid w:val="005E50EA"/>
    <w:rsid w:val="006001FE"/>
    <w:rsid w:val="00615772"/>
    <w:rsid w:val="00624DD7"/>
    <w:rsid w:val="006416A5"/>
    <w:rsid w:val="00644506"/>
    <w:rsid w:val="00661B23"/>
    <w:rsid w:val="00674D00"/>
    <w:rsid w:val="00685A77"/>
    <w:rsid w:val="00686B15"/>
    <w:rsid w:val="006C0DAA"/>
    <w:rsid w:val="006C41B7"/>
    <w:rsid w:val="006E0277"/>
    <w:rsid w:val="00700928"/>
    <w:rsid w:val="00731631"/>
    <w:rsid w:val="00744661"/>
    <w:rsid w:val="00762CC4"/>
    <w:rsid w:val="00762CF5"/>
    <w:rsid w:val="00781C2B"/>
    <w:rsid w:val="008367B9"/>
    <w:rsid w:val="00847C68"/>
    <w:rsid w:val="0086646B"/>
    <w:rsid w:val="00877A31"/>
    <w:rsid w:val="00891458"/>
    <w:rsid w:val="008A6B57"/>
    <w:rsid w:val="008D2032"/>
    <w:rsid w:val="008D72CD"/>
    <w:rsid w:val="00912FF5"/>
    <w:rsid w:val="0091612C"/>
    <w:rsid w:val="0094151D"/>
    <w:rsid w:val="0097788B"/>
    <w:rsid w:val="009A0331"/>
    <w:rsid w:val="009B02E5"/>
    <w:rsid w:val="009D3C8D"/>
    <w:rsid w:val="009E2FB2"/>
    <w:rsid w:val="00A907F4"/>
    <w:rsid w:val="00B56202"/>
    <w:rsid w:val="00B85BA6"/>
    <w:rsid w:val="00BC19CE"/>
    <w:rsid w:val="00BD6F53"/>
    <w:rsid w:val="00BE5714"/>
    <w:rsid w:val="00BE7B5D"/>
    <w:rsid w:val="00C94BBD"/>
    <w:rsid w:val="00CD0D56"/>
    <w:rsid w:val="00CD72DD"/>
    <w:rsid w:val="00D004E6"/>
    <w:rsid w:val="00D01881"/>
    <w:rsid w:val="00D15383"/>
    <w:rsid w:val="00D47B8A"/>
    <w:rsid w:val="00DB184F"/>
    <w:rsid w:val="00DC1E4E"/>
    <w:rsid w:val="00E36048"/>
    <w:rsid w:val="00E47A0D"/>
    <w:rsid w:val="00E77536"/>
    <w:rsid w:val="00EA3CC8"/>
    <w:rsid w:val="00EB6F14"/>
    <w:rsid w:val="00EE32D7"/>
    <w:rsid w:val="00F148C7"/>
    <w:rsid w:val="00F46013"/>
    <w:rsid w:val="00F67904"/>
    <w:rsid w:val="00F735F9"/>
    <w:rsid w:val="00F8321B"/>
    <w:rsid w:val="00F918F4"/>
    <w:rsid w:val="00FB4328"/>
    <w:rsid w:val="00FC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D96"/>
  </w:style>
  <w:style w:type="paragraph" w:styleId="Heading1">
    <w:name w:val="heading 1"/>
    <w:basedOn w:val="Normal"/>
    <w:next w:val="Normal"/>
    <w:link w:val="Heading1Char"/>
    <w:uiPriority w:val="9"/>
    <w:qFormat/>
    <w:rsid w:val="0033476A"/>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76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62C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1612C"/>
    <w:pPr>
      <w:ind w:left="720"/>
      <w:contextualSpacing/>
    </w:pPr>
  </w:style>
  <w:style w:type="paragraph" w:styleId="BalloonText">
    <w:name w:val="Balloon Text"/>
    <w:basedOn w:val="Normal"/>
    <w:link w:val="BalloonTextChar"/>
    <w:uiPriority w:val="99"/>
    <w:semiHidden/>
    <w:unhideWhenUsed/>
    <w:rsid w:val="00686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B15"/>
    <w:rPr>
      <w:rFonts w:ascii="Tahoma" w:hAnsi="Tahoma" w:cs="Tahoma"/>
      <w:sz w:val="16"/>
      <w:szCs w:val="16"/>
    </w:rPr>
  </w:style>
  <w:style w:type="paragraph" w:styleId="Header">
    <w:name w:val="header"/>
    <w:basedOn w:val="Normal"/>
    <w:link w:val="HeaderChar"/>
    <w:uiPriority w:val="99"/>
    <w:semiHidden/>
    <w:unhideWhenUsed/>
    <w:rsid w:val="00502B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2BB1"/>
  </w:style>
  <w:style w:type="paragraph" w:styleId="Footer">
    <w:name w:val="footer"/>
    <w:basedOn w:val="Normal"/>
    <w:link w:val="FooterChar"/>
    <w:uiPriority w:val="99"/>
    <w:unhideWhenUsed/>
    <w:rsid w:val="00502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BB1"/>
  </w:style>
  <w:style w:type="paragraph" w:styleId="Title">
    <w:name w:val="Title"/>
    <w:basedOn w:val="Normal"/>
    <w:next w:val="Normal"/>
    <w:link w:val="TitleChar"/>
    <w:uiPriority w:val="10"/>
    <w:qFormat/>
    <w:rsid w:val="007009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0928"/>
    <w:rPr>
      <w:rFonts w:asciiTheme="majorHAnsi" w:eastAsiaTheme="majorEastAsia" w:hAnsiTheme="majorHAnsi" w:cstheme="majorBidi"/>
      <w:color w:val="17365D" w:themeColor="text2" w:themeShade="BF"/>
      <w:spacing w:val="5"/>
      <w:kern w:val="28"/>
      <w:sz w:val="52"/>
      <w:szCs w:val="52"/>
    </w:rPr>
  </w:style>
  <w:style w:type="paragraph" w:customStyle="1" w:styleId="Figure1">
    <w:name w:val="Figure1"/>
    <w:basedOn w:val="Normal"/>
    <w:link w:val="Figure1Char"/>
    <w:qFormat/>
    <w:rsid w:val="0047412D"/>
  </w:style>
  <w:style w:type="character" w:customStyle="1" w:styleId="Figure1Char">
    <w:name w:val="Figure1 Char"/>
    <w:basedOn w:val="DefaultParagraphFont"/>
    <w:link w:val="Figure1"/>
    <w:rsid w:val="0047412D"/>
  </w:style>
  <w:style w:type="paragraph" w:styleId="TOCHeading">
    <w:name w:val="TOC Heading"/>
    <w:basedOn w:val="Heading1"/>
    <w:next w:val="Normal"/>
    <w:link w:val="TOCHeadingChar"/>
    <w:uiPriority w:val="39"/>
    <w:semiHidden/>
    <w:unhideWhenUsed/>
    <w:qFormat/>
    <w:rsid w:val="005D7E11"/>
    <w:pPr>
      <w:numPr>
        <w:numId w:val="0"/>
      </w:numPr>
      <w:outlineLvl w:val="9"/>
    </w:pPr>
  </w:style>
  <w:style w:type="character" w:customStyle="1" w:styleId="TOCHeadingChar">
    <w:name w:val="TOC Heading Char"/>
    <w:basedOn w:val="Heading1Char"/>
    <w:link w:val="TOCHeading"/>
    <w:uiPriority w:val="39"/>
    <w:semiHidden/>
    <w:rsid w:val="005D7E11"/>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5D7E11"/>
    <w:pPr>
      <w:tabs>
        <w:tab w:val="left" w:pos="720"/>
        <w:tab w:val="right" w:leader="dot" w:pos="9350"/>
      </w:tabs>
      <w:spacing w:after="100"/>
    </w:pPr>
  </w:style>
  <w:style w:type="character" w:styleId="Hyperlink">
    <w:name w:val="Hyperlink"/>
    <w:basedOn w:val="DefaultParagraphFont"/>
    <w:uiPriority w:val="99"/>
    <w:unhideWhenUsed/>
    <w:rsid w:val="005D7E11"/>
    <w:rPr>
      <w:color w:val="0000FF" w:themeColor="hyperlink"/>
      <w:u w:val="single"/>
    </w:rPr>
  </w:style>
  <w:style w:type="paragraph" w:customStyle="1" w:styleId="TOCStyle">
    <w:name w:val="TOC Style"/>
    <w:basedOn w:val="TOCHeading"/>
    <w:link w:val="TOCStyleChar"/>
    <w:qFormat/>
    <w:rsid w:val="005D7E11"/>
  </w:style>
  <w:style w:type="paragraph" w:styleId="TableofFigures">
    <w:name w:val="table of figures"/>
    <w:basedOn w:val="Normal"/>
    <w:next w:val="Normal"/>
    <w:uiPriority w:val="99"/>
    <w:unhideWhenUsed/>
    <w:rsid w:val="005D7E11"/>
    <w:pPr>
      <w:spacing w:after="0"/>
    </w:pPr>
  </w:style>
  <w:style w:type="character" w:customStyle="1" w:styleId="TOCStyleChar">
    <w:name w:val="TOC Style Char"/>
    <w:basedOn w:val="TOCHeadingChar"/>
    <w:link w:val="TOCStyle"/>
    <w:rsid w:val="005D7E11"/>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4E46DF"/>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86556">
      <w:bodyDiv w:val="1"/>
      <w:marLeft w:val="0"/>
      <w:marRight w:val="0"/>
      <w:marTop w:val="0"/>
      <w:marBottom w:val="0"/>
      <w:divBdr>
        <w:top w:val="none" w:sz="0" w:space="0" w:color="auto"/>
        <w:left w:val="none" w:sz="0" w:space="0" w:color="auto"/>
        <w:bottom w:val="none" w:sz="0" w:space="0" w:color="auto"/>
        <w:right w:val="none" w:sz="0" w:space="0" w:color="auto"/>
      </w:divBdr>
    </w:div>
    <w:div w:id="1437755201">
      <w:bodyDiv w:val="1"/>
      <w:marLeft w:val="0"/>
      <w:marRight w:val="0"/>
      <w:marTop w:val="0"/>
      <w:marBottom w:val="0"/>
      <w:divBdr>
        <w:top w:val="none" w:sz="0" w:space="0" w:color="auto"/>
        <w:left w:val="none" w:sz="0" w:space="0" w:color="auto"/>
        <w:bottom w:val="none" w:sz="0" w:space="0" w:color="auto"/>
        <w:right w:val="none" w:sz="0" w:space="0" w:color="auto"/>
      </w:divBdr>
    </w:div>
    <w:div w:id="170859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6.gif"/><Relationship Id="rId10" Type="http://schemas.openxmlformats.org/officeDocument/2006/relationships/image" Target="media/image1.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23B8-2EF4-4B35-84E8-B4032B42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4962</TotalTime>
  <Pages>23</Pages>
  <Words>3392</Words>
  <Characters>19336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22683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Drennan</dc:creator>
  <cp:keywords/>
  <dc:description/>
  <cp:lastModifiedBy>Craig C. Drennan</cp:lastModifiedBy>
  <cp:revision>11</cp:revision>
  <cp:lastPrinted>2014-04-17T19:32:00Z</cp:lastPrinted>
  <dcterms:created xsi:type="dcterms:W3CDTF">2010-10-13T20:16:00Z</dcterms:created>
  <dcterms:modified xsi:type="dcterms:W3CDTF">2014-04-22T14:18:00Z</dcterms:modified>
</cp:coreProperties>
</file>