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98" w:rsidRDefault="000C3824" w:rsidP="000C3824">
      <w:pPr>
        <w:jc w:val="center"/>
        <w:rPr>
          <w:b/>
          <w:sz w:val="32"/>
          <w:szCs w:val="32"/>
        </w:rPr>
      </w:pPr>
      <w:r w:rsidRPr="000C3824">
        <w:rPr>
          <w:b/>
          <w:sz w:val="32"/>
          <w:szCs w:val="32"/>
        </w:rPr>
        <w:t>MI BEAM POWER FOR DIFFERENT BEAM ENERGIES</w:t>
      </w:r>
    </w:p>
    <w:p w:rsidR="0027618F" w:rsidRPr="0027618F" w:rsidRDefault="0027618F" w:rsidP="0027618F">
      <w:pPr>
        <w:jc w:val="right"/>
        <w:rPr>
          <w:b/>
          <w:sz w:val="24"/>
          <w:szCs w:val="24"/>
        </w:rPr>
      </w:pPr>
      <w:proofErr w:type="spellStart"/>
      <w:r w:rsidRPr="0027618F">
        <w:rPr>
          <w:b/>
          <w:sz w:val="24"/>
          <w:szCs w:val="24"/>
        </w:rPr>
        <w:t>Ioanis</w:t>
      </w:r>
      <w:proofErr w:type="spellEnd"/>
      <w:r w:rsidRPr="0027618F">
        <w:rPr>
          <w:b/>
          <w:sz w:val="24"/>
          <w:szCs w:val="24"/>
        </w:rPr>
        <w:t xml:space="preserve"> </w:t>
      </w:r>
      <w:proofErr w:type="spellStart"/>
      <w:r w:rsidRPr="0027618F">
        <w:rPr>
          <w:b/>
          <w:sz w:val="24"/>
          <w:szCs w:val="24"/>
        </w:rPr>
        <w:t>Kourbanis</w:t>
      </w:r>
      <w:proofErr w:type="spellEnd"/>
    </w:p>
    <w:p w:rsidR="0027618F" w:rsidRPr="0027618F" w:rsidRDefault="0027618F" w:rsidP="0027618F">
      <w:pPr>
        <w:jc w:val="right"/>
        <w:rPr>
          <w:b/>
        </w:rPr>
      </w:pPr>
      <w:r w:rsidRPr="0027618F">
        <w:rPr>
          <w:b/>
        </w:rPr>
        <w:t>11/16/10</w:t>
      </w:r>
    </w:p>
    <w:p w:rsidR="000C3824" w:rsidRDefault="000C3824" w:rsidP="000C3824">
      <w:pPr>
        <w:jc w:val="center"/>
        <w:rPr>
          <w:b/>
          <w:sz w:val="32"/>
          <w:szCs w:val="32"/>
        </w:rPr>
      </w:pPr>
    </w:p>
    <w:p w:rsidR="000C3824" w:rsidRDefault="000C3824" w:rsidP="000C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0C3824" w:rsidRDefault="000C3824" w:rsidP="000C3824">
      <w:r>
        <w:t xml:space="preserve">For </w:t>
      </w:r>
      <w:proofErr w:type="spellStart"/>
      <w:r>
        <w:t>NOvA</w:t>
      </w:r>
      <w:proofErr w:type="spellEnd"/>
      <w:r>
        <w:t xml:space="preserve"> MI will provide 4.9E13p at 120 </w:t>
      </w:r>
      <w:proofErr w:type="spellStart"/>
      <w:r>
        <w:t>GeV</w:t>
      </w:r>
      <w:proofErr w:type="spellEnd"/>
      <w:r w:rsidR="000748E5">
        <w:t xml:space="preserve"> beam momentum</w:t>
      </w:r>
      <w:r>
        <w:t xml:space="preserve"> every 1.33 sec for a beam power of 708KW. In order to achieve this beam power the Recycler is used as a proton Ring for Slip Stacking. There has been some interest to know the MI </w:t>
      </w:r>
      <w:r w:rsidR="000748E5">
        <w:t xml:space="preserve">beam power at different </w:t>
      </w:r>
      <w:proofErr w:type="spellStart"/>
      <w:r w:rsidR="000748E5">
        <w:t>momenta</w:t>
      </w:r>
      <w:proofErr w:type="spellEnd"/>
      <w:r>
        <w:t xml:space="preserve"> than 120 </w:t>
      </w:r>
      <w:proofErr w:type="spellStart"/>
      <w:r>
        <w:t>GeV</w:t>
      </w:r>
      <w:proofErr w:type="spellEnd"/>
      <w:r>
        <w:t>.  The following note attemp</w:t>
      </w:r>
      <w:r w:rsidR="003B466A">
        <w:t>t</w:t>
      </w:r>
      <w:r>
        <w:t>s to answer this question in a consistent manner.</w:t>
      </w:r>
    </w:p>
    <w:p w:rsidR="0027618F" w:rsidRDefault="0027618F" w:rsidP="000C3824"/>
    <w:p w:rsidR="000C3824" w:rsidRDefault="000C3824" w:rsidP="000C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Assumptions</w:t>
      </w:r>
    </w:p>
    <w:p w:rsidR="000C3824" w:rsidRDefault="000C3824" w:rsidP="000C3824">
      <w:r>
        <w:t xml:space="preserve">In order to calculate the MI </w:t>
      </w:r>
      <w:r w:rsidR="000748E5">
        <w:t xml:space="preserve">beam power at different </w:t>
      </w:r>
      <w:proofErr w:type="spellStart"/>
      <w:r w:rsidR="000748E5">
        <w:t>momenta</w:t>
      </w:r>
      <w:proofErr w:type="spellEnd"/>
      <w:r>
        <w:t xml:space="preserve"> the following assumptions were made:  The RR cycle time was assumed to be 13 Booster ticks long or 0.866 sec. The max </w:t>
      </w:r>
      <w:proofErr w:type="spellStart"/>
      <w:r>
        <w:t>pdot</w:t>
      </w:r>
      <w:proofErr w:type="spellEnd"/>
      <w:r>
        <w:t xml:space="preserve"> is 240 </w:t>
      </w:r>
      <w:proofErr w:type="spellStart"/>
      <w:r>
        <w:t>GeV</w:t>
      </w:r>
      <w:proofErr w:type="spellEnd"/>
      <w:r>
        <w:t>/sec and no extra PS supplies are added. The MI cycle time in each energy considered</w:t>
      </w:r>
      <w:r w:rsidR="000748E5">
        <w:t>,</w:t>
      </w:r>
      <w:r>
        <w:t xml:space="preserve"> was rounded off to represent an integer number of Booster ticks. The MI cycle time cannot be smaller than the RR cycle time. </w:t>
      </w:r>
    </w:p>
    <w:p w:rsidR="0027618F" w:rsidRDefault="0027618F" w:rsidP="000C3824"/>
    <w:p w:rsidR="000C3824" w:rsidRDefault="000C3824" w:rsidP="000C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p w:rsidR="003B466A" w:rsidRPr="0049190D" w:rsidRDefault="003B466A" w:rsidP="000C3824">
      <w:r>
        <w:t>The MI cycle time for di</w:t>
      </w:r>
      <w:r w:rsidR="000748E5">
        <w:t xml:space="preserve">fferent </w:t>
      </w:r>
      <w:proofErr w:type="spellStart"/>
      <w:r w:rsidR="000748E5">
        <w:t>momenta</w:t>
      </w:r>
      <w:proofErr w:type="spellEnd"/>
      <w:r>
        <w:t xml:space="preserve"> from 30-120GeV is plotted in Fig. 1. As mentioned before the MI cycle time was rounded off to the closest integer number of 15 Hz Booster ticks.  From this plot</w:t>
      </w:r>
      <w:r w:rsidR="000748E5">
        <w:t xml:space="preserve"> we can see that for MI </w:t>
      </w:r>
      <w:proofErr w:type="spellStart"/>
      <w:r w:rsidR="000748E5">
        <w:t>momenta</w:t>
      </w:r>
      <w:proofErr w:type="spellEnd"/>
      <w:r>
        <w:t xml:space="preserve"> smaller than 70 </w:t>
      </w:r>
      <w:proofErr w:type="spellStart"/>
      <w:r>
        <w:t>GeV</w:t>
      </w:r>
      <w:proofErr w:type="spellEnd"/>
      <w:r>
        <w:t xml:space="preserve"> the MI cycle time is smaller than the RR cycle time required for slip stacking. For the MI power calculation</w:t>
      </w:r>
      <w:r w:rsidR="000748E5">
        <w:t xml:space="preserve">s the MI cycle time for </w:t>
      </w:r>
      <w:proofErr w:type="spellStart"/>
      <w:r w:rsidR="000748E5">
        <w:t>momenta</w:t>
      </w:r>
      <w:proofErr w:type="spellEnd"/>
      <w:r>
        <w:t xml:space="preserve"> smaller than 70 </w:t>
      </w:r>
      <w:proofErr w:type="spellStart"/>
      <w:r>
        <w:t>GeV</w:t>
      </w:r>
      <w:proofErr w:type="spellEnd"/>
      <w:r>
        <w:t xml:space="preserve"> will be considered constant and equal to RR cycle ti</w:t>
      </w:r>
      <w:r w:rsidR="000748E5">
        <w:t xml:space="preserve">me. The MI power vs. beam momentum </w:t>
      </w:r>
      <w:r>
        <w:t>is shown in Fig. 2.</w:t>
      </w:r>
    </w:p>
    <w:p w:rsidR="003B466A" w:rsidRDefault="003B466A" w:rsidP="000C3824">
      <w:pPr>
        <w:rPr>
          <w:b/>
          <w:sz w:val="28"/>
          <w:szCs w:val="28"/>
        </w:rPr>
      </w:pPr>
      <w:r w:rsidRPr="003B466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76900" cy="22860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466A" w:rsidRDefault="003B466A" w:rsidP="000C3824">
      <w:pPr>
        <w:rPr>
          <w:b/>
        </w:rPr>
      </w:pPr>
      <w:r w:rsidRPr="0049190D">
        <w:rPr>
          <w:b/>
        </w:rPr>
        <w:t>Fig. 1: MI time requir</w:t>
      </w:r>
      <w:r w:rsidR="000748E5">
        <w:rPr>
          <w:b/>
        </w:rPr>
        <w:t xml:space="preserve">ed to ramp to different </w:t>
      </w:r>
      <w:proofErr w:type="spellStart"/>
      <w:r w:rsidR="000748E5">
        <w:rPr>
          <w:b/>
        </w:rPr>
        <w:t>momenta</w:t>
      </w:r>
      <w:proofErr w:type="spellEnd"/>
      <w:r w:rsidRPr="0049190D">
        <w:rPr>
          <w:b/>
        </w:rPr>
        <w:t>.</w:t>
      </w:r>
    </w:p>
    <w:p w:rsidR="0027618F" w:rsidRPr="0049190D" w:rsidRDefault="0027618F" w:rsidP="000C3824">
      <w:pPr>
        <w:rPr>
          <w:b/>
        </w:rPr>
      </w:pPr>
    </w:p>
    <w:p w:rsidR="003B466A" w:rsidRDefault="001C1EEE" w:rsidP="000C3824">
      <w:pPr>
        <w:rPr>
          <w:b/>
          <w:sz w:val="28"/>
          <w:szCs w:val="28"/>
        </w:rPr>
      </w:pPr>
      <w:r w:rsidRPr="001C1EEE">
        <w:rPr>
          <w:b/>
          <w:sz w:val="28"/>
          <w:szCs w:val="28"/>
        </w:rPr>
        <w:drawing>
          <wp:inline distT="0" distB="0" distL="0" distR="0">
            <wp:extent cx="5591175" cy="4495800"/>
            <wp:effectExtent l="1905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190D" w:rsidRPr="0049190D" w:rsidRDefault="0049190D" w:rsidP="000C3824">
      <w:pPr>
        <w:rPr>
          <w:b/>
        </w:rPr>
      </w:pPr>
      <w:r w:rsidRPr="0049190D">
        <w:rPr>
          <w:b/>
        </w:rPr>
        <w:t>Fig. 2: MI Beam Power vs. Beam Momentum</w:t>
      </w:r>
    </w:p>
    <w:p w:rsidR="0049190D" w:rsidRDefault="0049190D" w:rsidP="000C38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Booster Beam Requirements</w:t>
      </w:r>
    </w:p>
    <w:p w:rsidR="0049190D" w:rsidRDefault="0049190D" w:rsidP="000C3824">
      <w:r>
        <w:t xml:space="preserve">For the </w:t>
      </w:r>
      <w:proofErr w:type="spellStart"/>
      <w:r>
        <w:t>NOvA</w:t>
      </w:r>
      <w:proofErr w:type="spellEnd"/>
      <w:r>
        <w:t xml:space="preserve"> 700KW operation we assume 4.3E12 per batch from Booster at 9Hz. The Booster repetition rate required for t</w:t>
      </w:r>
      <w:r w:rsidR="000748E5">
        <w:t xml:space="preserve">he different MI beam </w:t>
      </w:r>
      <w:proofErr w:type="spellStart"/>
      <w:r w:rsidR="000748E5">
        <w:t>momenta</w:t>
      </w:r>
      <w:proofErr w:type="spellEnd"/>
      <w:r>
        <w:t xml:space="preserve"> is shown in Fig. 3.</w:t>
      </w:r>
      <w:r w:rsidR="00AA3223">
        <w:t xml:space="preserve"> The protons per hour required from Booster as a function of MI beam momentum is shown in Fig. 4.</w:t>
      </w:r>
    </w:p>
    <w:p w:rsidR="000748E5" w:rsidRDefault="0049190D" w:rsidP="000C3824">
      <w:r w:rsidRPr="0049190D">
        <w:drawing>
          <wp:inline distT="0" distB="0" distL="0" distR="0">
            <wp:extent cx="5553075" cy="3638550"/>
            <wp:effectExtent l="1905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190D" w:rsidRPr="00E573E5" w:rsidRDefault="0049190D" w:rsidP="000C3824">
      <w:pPr>
        <w:rPr>
          <w:b/>
        </w:rPr>
      </w:pPr>
      <w:r w:rsidRPr="0049190D">
        <w:rPr>
          <w:b/>
        </w:rPr>
        <w:t>Fig. 3: Booster Rep. Rate vs. MI Beam Momentum.</w:t>
      </w:r>
    </w:p>
    <w:p w:rsidR="0049190D" w:rsidRDefault="00AA3223" w:rsidP="000C3824">
      <w:r w:rsidRPr="00AA3223">
        <w:drawing>
          <wp:inline distT="0" distB="0" distL="0" distR="0">
            <wp:extent cx="5619750" cy="2695575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618F" w:rsidRPr="0027618F" w:rsidRDefault="0027618F" w:rsidP="000C3824">
      <w:pPr>
        <w:rPr>
          <w:b/>
        </w:rPr>
      </w:pPr>
      <w:r>
        <w:rPr>
          <w:b/>
        </w:rPr>
        <w:t xml:space="preserve">Fig. 4: Booster </w:t>
      </w:r>
      <w:proofErr w:type="gramStart"/>
      <w:r>
        <w:rPr>
          <w:b/>
        </w:rPr>
        <w:t>proton per hour vs. MI beam</w:t>
      </w:r>
      <w:proofErr w:type="gramEnd"/>
      <w:r>
        <w:rPr>
          <w:b/>
        </w:rPr>
        <w:t xml:space="preserve"> Momentum.</w:t>
      </w:r>
    </w:p>
    <w:sectPr w:rsidR="0027618F" w:rsidRPr="0027618F" w:rsidSect="0089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24"/>
    <w:rsid w:val="000748E5"/>
    <w:rsid w:val="000C3824"/>
    <w:rsid w:val="001C1EEE"/>
    <w:rsid w:val="0027618F"/>
    <w:rsid w:val="003B466A"/>
    <w:rsid w:val="0049190D"/>
    <w:rsid w:val="00620FB9"/>
    <w:rsid w:val="00892B98"/>
    <w:rsid w:val="00AA3223"/>
    <w:rsid w:val="00E5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oanis\My%20Documents\ioanis\My%20Files\ioanis.FERMI\Personal%20Files\NOvA%20CAM\MI_Beam_power_vs_energ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ioanis\My%20Documents\ioanis\My%20Files\ioanis.FERMI\Personal%20Files\NOvA%20CAM\MI_Beam_power_vs_energy_s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oanis\My%20Documents\ioanis\My%20Files\ioanis.FERMI\Personal%20Files\NOvA%20CAM\MI_Beam_power_vs_energy_s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oanis\My%20Documents\ioanis\My%20Files\ioanis.FERMI\Personal%20Files\NOvA%20CAM\MI_Beam_power_vs_energy_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Sheet1!$A$1</c:f>
              <c:strCache>
                <c:ptCount val="1"/>
                <c:pt idx="0">
                  <c:v>Momentum (GeV/c)</c:v>
                </c:pt>
              </c:strCache>
            </c:strRef>
          </c:tx>
          <c:spPr>
            <a:ln w="47625">
              <a:noFill/>
            </a:ln>
          </c:spPr>
          <c:xVal>
            <c:numRef>
              <c:f>Sheet1!$B$2:$B$11</c:f>
              <c:numCache>
                <c:formatCode>General</c:formatCode>
                <c:ptCount val="10"/>
                <c:pt idx="0">
                  <c:v>0.53300000000000003</c:v>
                </c:pt>
                <c:pt idx="1">
                  <c:v>0.60000000000000031</c:v>
                </c:pt>
                <c:pt idx="2">
                  <c:v>0.73300000000000032</c:v>
                </c:pt>
                <c:pt idx="3">
                  <c:v>0.8</c:v>
                </c:pt>
                <c:pt idx="4">
                  <c:v>0.86600000000000033</c:v>
                </c:pt>
                <c:pt idx="5">
                  <c:v>0.93300000000000005</c:v>
                </c:pt>
                <c:pt idx="6">
                  <c:v>1</c:v>
                </c:pt>
                <c:pt idx="7">
                  <c:v>1.133</c:v>
                </c:pt>
                <c:pt idx="8">
                  <c:v>1.27</c:v>
                </c:pt>
                <c:pt idx="9">
                  <c:v>1.33</c:v>
                </c:pt>
              </c:numCache>
            </c:numRef>
          </c:xVal>
          <c:yVal>
            <c:numRef>
              <c:f>Sheet1!$A$2:$A$11</c:f>
              <c:numCache>
                <c:formatCode>General</c:formatCode>
                <c:ptCount val="10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110</c:v>
                </c:pt>
                <c:pt idx="9">
                  <c:v>120</c:v>
                </c:pt>
              </c:numCache>
            </c:numRef>
          </c:yVal>
        </c:ser>
        <c:axId val="155260032"/>
        <c:axId val="157163904"/>
      </c:scatterChart>
      <c:valAx>
        <c:axId val="1552600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 Cycle Time (sec)</a:t>
                </a:r>
              </a:p>
            </c:rich>
          </c:tx>
        </c:title>
        <c:numFmt formatCode="General" sourceLinked="1"/>
        <c:majorTickMark val="none"/>
        <c:tickLblPos val="nextTo"/>
        <c:crossAx val="157163904"/>
        <c:crosses val="autoZero"/>
        <c:crossBetween val="midCat"/>
      </c:valAx>
      <c:valAx>
        <c:axId val="157163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Beam Momentum (GeV/c)</a:t>
                </a:r>
              </a:p>
            </c:rich>
          </c:tx>
        </c:title>
        <c:numFmt formatCode="General" sourceLinked="1"/>
        <c:majorTickMark val="none"/>
        <c:tickLblPos val="nextTo"/>
        <c:crossAx val="155260032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0"/>
  <c:chart>
    <c:title>
      <c:tx>
        <c:rich>
          <a:bodyPr/>
          <a:lstStyle/>
          <a:p>
            <a:pPr>
              <a:defRPr/>
            </a:pPr>
            <a:r>
              <a:rPr lang="en-US"/>
              <a:t>MI Power (KW)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Sheet1!$C$1</c:f>
              <c:strCache>
                <c:ptCount val="1"/>
                <c:pt idx="0">
                  <c:v>MI Power (MW)</c:v>
                </c:pt>
              </c:strCache>
            </c:strRef>
          </c:tx>
          <c:spPr>
            <a:ln w="47625">
              <a:noFill/>
            </a:ln>
          </c:spPr>
          <c:xVal>
            <c:numRef>
              <c:f>Sheet1!$A$2:$A$12</c:f>
              <c:numCache>
                <c:formatCode>General</c:formatCode>
                <c:ptCount val="11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110</c:v>
                </c:pt>
                <c:pt idx="9">
                  <c:v>120</c:v>
                </c:pt>
              </c:numCache>
            </c:numRef>
          </c:xVal>
          <c:yVal>
            <c:numRef>
              <c:f>Sheet1!$C$2:$C$12</c:f>
              <c:numCache>
                <c:formatCode>0.00</c:formatCode>
                <c:ptCount val="11"/>
                <c:pt idx="0">
                  <c:v>272.60392609699767</c:v>
                </c:pt>
                <c:pt idx="1">
                  <c:v>363.47190146266348</c:v>
                </c:pt>
                <c:pt idx="2">
                  <c:v>454.33987682832952</c:v>
                </c:pt>
                <c:pt idx="3">
                  <c:v>545.20785219399522</c:v>
                </c:pt>
                <c:pt idx="4">
                  <c:v>636.07582755966155</c:v>
                </c:pt>
                <c:pt idx="5">
                  <c:v>674.74097892104339</c:v>
                </c:pt>
                <c:pt idx="6">
                  <c:v>708.22500000000002</c:v>
                </c:pt>
                <c:pt idx="7">
                  <c:v>694.54251250367759</c:v>
                </c:pt>
                <c:pt idx="8">
                  <c:v>681.58136482939653</c:v>
                </c:pt>
                <c:pt idx="9">
                  <c:v>710</c:v>
                </c:pt>
              </c:numCache>
            </c:numRef>
          </c:yVal>
        </c:ser>
        <c:axId val="157215360"/>
        <c:axId val="158569216"/>
      </c:scatterChart>
      <c:valAx>
        <c:axId val="1572153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 Beam Momentum (GeV/c)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8569216"/>
        <c:crosses val="autoZero"/>
        <c:crossBetween val="midCat"/>
      </c:valAx>
      <c:valAx>
        <c:axId val="158569216"/>
        <c:scaling>
          <c:orientation val="minMax"/>
          <c:max val="800"/>
          <c:min val="200"/>
        </c:scaling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Beam Power (KW)</a:t>
                </a:r>
              </a:p>
            </c:rich>
          </c:tx>
        </c:title>
        <c:numFmt formatCode="0.00" sourceLinked="1"/>
        <c:majorTickMark val="none"/>
        <c:tickLblPos val="nextTo"/>
        <c:crossAx val="157215360"/>
        <c:crosses val="autoZero"/>
        <c:crossBetween val="midCat"/>
        <c:majorUnit val="100"/>
        <c:minorUnit val="50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4"/>
  <c:chart>
    <c:title/>
    <c:plotArea>
      <c:layout/>
      <c:scatterChart>
        <c:scatterStyle val="lineMarker"/>
        <c:ser>
          <c:idx val="0"/>
          <c:order val="0"/>
          <c:tx>
            <c:strRef>
              <c:f>Sheet1!$G$1</c:f>
              <c:strCache>
                <c:ptCount val="1"/>
                <c:pt idx="0">
                  <c:v>Booster Rep. Rate (Hz)</c:v>
                </c:pt>
              </c:strCache>
            </c:strRef>
          </c:tx>
          <c:spPr>
            <a:ln w="47625">
              <a:noFill/>
            </a:ln>
          </c:spPr>
          <c:xVal>
            <c:numRef>
              <c:f>Sheet1!$A$2:$A$12</c:f>
              <c:numCache>
                <c:formatCode>General</c:formatCode>
                <c:ptCount val="11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110</c:v>
                </c:pt>
                <c:pt idx="9">
                  <c:v>120</c:v>
                </c:pt>
              </c:numCache>
            </c:numRef>
          </c:xVal>
          <c:yVal>
            <c:numRef>
              <c:f>Sheet1!$G$2:$G$12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13.850000000000001</c:v>
                </c:pt>
                <c:pt idx="6">
                  <c:v>12</c:v>
                </c:pt>
                <c:pt idx="7">
                  <c:v>10.59</c:v>
                </c:pt>
                <c:pt idx="8">
                  <c:v>9.4500000000000011</c:v>
                </c:pt>
                <c:pt idx="9">
                  <c:v>9</c:v>
                </c:pt>
              </c:numCache>
            </c:numRef>
          </c:yVal>
        </c:ser>
        <c:axId val="219348992"/>
        <c:axId val="219351680"/>
      </c:scatterChart>
      <c:valAx>
        <c:axId val="2193489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 Beam Momentum (GeV/c)</a:t>
                </a:r>
              </a:p>
            </c:rich>
          </c:tx>
        </c:title>
        <c:numFmt formatCode="General" sourceLinked="1"/>
        <c:majorTickMark val="none"/>
        <c:tickLblPos val="nextTo"/>
        <c:crossAx val="219351680"/>
        <c:crosses val="autoZero"/>
        <c:crossBetween val="midCat"/>
      </c:valAx>
      <c:valAx>
        <c:axId val="219351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Booster Rep. Rate (Hz)</a:t>
                </a:r>
              </a:p>
            </c:rich>
          </c:tx>
        </c:title>
        <c:numFmt formatCode="General" sourceLinked="1"/>
        <c:majorTickMark val="none"/>
        <c:tickLblPos val="nextTo"/>
        <c:crossAx val="219348992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3"/>
  <c:chart>
    <c:title/>
    <c:plotArea>
      <c:layout/>
      <c:scatterChart>
        <c:scatterStyle val="lineMarker"/>
        <c:ser>
          <c:idx val="0"/>
          <c:order val="0"/>
          <c:tx>
            <c:strRef>
              <c:f>Sheet1!$H$1</c:f>
              <c:strCache>
                <c:ptCount val="1"/>
                <c:pt idx="0">
                  <c:v>Protons per Hour from Booster (p/hr)</c:v>
                </c:pt>
              </c:strCache>
            </c:strRef>
          </c:tx>
          <c:spPr>
            <a:ln w="47625">
              <a:noFill/>
            </a:ln>
          </c:spPr>
          <c:xVal>
            <c:numRef>
              <c:f>Sheet1!$A$2:$A$13</c:f>
              <c:numCache>
                <c:formatCode>General</c:formatCode>
                <c:ptCount val="12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110</c:v>
                </c:pt>
                <c:pt idx="9">
                  <c:v>120</c:v>
                </c:pt>
              </c:numCache>
            </c:numRef>
          </c:xVal>
          <c:yVal>
            <c:numRef>
              <c:f>Sheet1!$H$2:$H$13</c:f>
              <c:numCache>
                <c:formatCode>0.00E+00</c:formatCode>
                <c:ptCount val="12"/>
                <c:pt idx="0">
                  <c:v>2.3219999999999997E+17</c:v>
                </c:pt>
                <c:pt idx="1">
                  <c:v>2.3219999999999997E+17</c:v>
                </c:pt>
                <c:pt idx="2">
                  <c:v>2.3219999999999997E+17</c:v>
                </c:pt>
                <c:pt idx="3">
                  <c:v>2.3219999999999997E+17</c:v>
                </c:pt>
                <c:pt idx="4">
                  <c:v>2.3219999999999997E+17</c:v>
                </c:pt>
                <c:pt idx="5">
                  <c:v>2.1439800000000003E+17</c:v>
                </c:pt>
                <c:pt idx="6">
                  <c:v>1.8576E+17</c:v>
                </c:pt>
                <c:pt idx="7">
                  <c:v>1.639332E+17</c:v>
                </c:pt>
                <c:pt idx="8">
                  <c:v>1.4628599999999997E+17</c:v>
                </c:pt>
                <c:pt idx="9">
                  <c:v>1.3932E+17</c:v>
                </c:pt>
              </c:numCache>
            </c:numRef>
          </c:yVal>
        </c:ser>
        <c:axId val="220113152"/>
        <c:axId val="220876800"/>
      </c:scatterChart>
      <c:valAx>
        <c:axId val="2201131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 Momentum (GeV/c)</a:t>
                </a:r>
              </a:p>
            </c:rich>
          </c:tx>
        </c:title>
        <c:numFmt formatCode="General" sourceLinked="1"/>
        <c:majorTickMark val="none"/>
        <c:tickLblPos val="nextTo"/>
        <c:crossAx val="220876800"/>
        <c:crosses val="autoZero"/>
        <c:crossBetween val="midCat"/>
      </c:valAx>
      <c:valAx>
        <c:axId val="220876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Booster Protons (p/hr)</a:t>
                </a:r>
              </a:p>
            </c:rich>
          </c:tx>
        </c:title>
        <c:numFmt formatCode="0.00E+00" sourceLinked="1"/>
        <c:majorTickMark val="none"/>
        <c:tickLblPos val="nextTo"/>
        <c:crossAx val="220113152"/>
        <c:crosses val="autoZero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0.32737</cdr:x>
      <cdr:y>0.96135</cdr:y>
    </cdr:from>
    <cdr:to>
      <cdr:x>0.64401</cdr:x>
      <cdr:y>0.99034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43075" y="3790950"/>
          <a:ext cx="1685925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3</Pages>
  <Words>281</Words>
  <Characters>1605</Characters>
  <Application>Microsoft Office Word</Application>
  <DocSecurity>0</DocSecurity>
  <Lines>13</Lines>
  <Paragraphs>3</Paragraphs>
  <ScaleCrop>false</ScaleCrop>
  <Company>Fermilab | Accelerator Division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ioanis</dc:creator>
  <cp:keywords/>
  <dc:description/>
  <cp:lastModifiedBy>ioanis</cp:lastModifiedBy>
  <cp:revision>8</cp:revision>
  <cp:lastPrinted>2010-11-12T22:02:00Z</cp:lastPrinted>
  <dcterms:created xsi:type="dcterms:W3CDTF">2010-11-11T21:44:00Z</dcterms:created>
  <dcterms:modified xsi:type="dcterms:W3CDTF">2010-11-16T19:45:00Z</dcterms:modified>
</cp:coreProperties>
</file>