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3E" w:rsidRDefault="00303384" w:rsidP="00303384">
      <w:pPr>
        <w:pStyle w:val="Title"/>
      </w:pPr>
      <w:bookmarkStart w:id="0" w:name="OLE_LINK1"/>
      <w:r>
        <w:t>Booster Beam Loss Monitor</w:t>
      </w:r>
    </w:p>
    <w:p w:rsidR="00303384" w:rsidRDefault="00303384" w:rsidP="00303384">
      <w:pPr>
        <w:pStyle w:val="Title"/>
      </w:pPr>
      <w:r>
        <w:t>Data Acquisition and Presentation</w:t>
      </w:r>
    </w:p>
    <w:p w:rsidR="00303384" w:rsidRDefault="00303384" w:rsidP="00303384">
      <w:pPr>
        <w:pStyle w:val="Title"/>
      </w:pPr>
      <w:r>
        <w:t>Specification</w:t>
      </w:r>
    </w:p>
    <w:bookmarkEnd w:id="0"/>
    <w:p w:rsidR="00303384" w:rsidRDefault="00303384"/>
    <w:p w:rsidR="00303384" w:rsidRDefault="00D94426" w:rsidP="00303384">
      <w:pPr>
        <w:jc w:val="center"/>
      </w:pPr>
      <w:r>
        <w:t xml:space="preserve">December </w:t>
      </w:r>
      <w:r w:rsidR="00082B59">
        <w:t>14</w:t>
      </w:r>
      <w:r>
        <w:t>, 2011</w:t>
      </w:r>
    </w:p>
    <w:p w:rsidR="00303384" w:rsidRDefault="00303384" w:rsidP="00303384">
      <w:pPr>
        <w:jc w:val="center"/>
      </w:pPr>
      <w:r>
        <w:t>Craig Drennan</w:t>
      </w:r>
    </w:p>
    <w:p w:rsidR="00303384" w:rsidRDefault="00303384">
      <w:r>
        <w:br w:type="page"/>
      </w:r>
    </w:p>
    <w:sdt>
      <w:sdtPr>
        <w:rPr>
          <w:rFonts w:asciiTheme="minorHAnsi" w:eastAsiaTheme="minorHAnsi" w:hAnsiTheme="minorHAnsi" w:cstheme="minorBidi"/>
          <w:b w:val="0"/>
          <w:bCs w:val="0"/>
          <w:color w:val="auto"/>
          <w:sz w:val="24"/>
          <w:szCs w:val="22"/>
        </w:rPr>
        <w:id w:val="580364079"/>
        <w:docPartObj>
          <w:docPartGallery w:val="Table of Contents"/>
          <w:docPartUnique/>
        </w:docPartObj>
      </w:sdtPr>
      <w:sdtContent>
        <w:p w:rsidR="00987202" w:rsidRDefault="00987202">
          <w:pPr>
            <w:pStyle w:val="TOCHeading"/>
          </w:pPr>
          <w:r>
            <w:t>Table of Contents</w:t>
          </w:r>
        </w:p>
        <w:p w:rsidR="009D5D1F" w:rsidRDefault="00494BEF">
          <w:pPr>
            <w:pStyle w:val="TOC1"/>
            <w:tabs>
              <w:tab w:val="left" w:pos="480"/>
              <w:tab w:val="right" w:leader="dot" w:pos="9350"/>
            </w:tabs>
            <w:rPr>
              <w:rFonts w:eastAsiaTheme="minorEastAsia"/>
              <w:noProof/>
              <w:sz w:val="22"/>
            </w:rPr>
          </w:pPr>
          <w:r>
            <w:fldChar w:fldCharType="begin"/>
          </w:r>
          <w:r w:rsidR="00987202">
            <w:instrText xml:space="preserve"> TOC \o "1-3" \h \z \u </w:instrText>
          </w:r>
          <w:r>
            <w:fldChar w:fldCharType="separate"/>
          </w:r>
          <w:hyperlink w:anchor="_Toc345660734" w:history="1">
            <w:r w:rsidR="009D5D1F" w:rsidRPr="00C51833">
              <w:rPr>
                <w:rStyle w:val="Hyperlink"/>
                <w:noProof/>
              </w:rPr>
              <w:t>I.</w:t>
            </w:r>
            <w:r w:rsidR="009D5D1F">
              <w:rPr>
                <w:rFonts w:eastAsiaTheme="minorEastAsia"/>
                <w:noProof/>
                <w:sz w:val="22"/>
              </w:rPr>
              <w:tab/>
            </w:r>
            <w:r w:rsidR="009D5D1F" w:rsidRPr="00C51833">
              <w:rPr>
                <w:rStyle w:val="Hyperlink"/>
                <w:noProof/>
              </w:rPr>
              <w:t>Introduction</w:t>
            </w:r>
            <w:r w:rsidR="009D5D1F">
              <w:rPr>
                <w:noProof/>
                <w:webHidden/>
              </w:rPr>
              <w:tab/>
            </w:r>
            <w:r w:rsidR="009D5D1F">
              <w:rPr>
                <w:noProof/>
                <w:webHidden/>
              </w:rPr>
              <w:fldChar w:fldCharType="begin"/>
            </w:r>
            <w:r w:rsidR="009D5D1F">
              <w:rPr>
                <w:noProof/>
                <w:webHidden/>
              </w:rPr>
              <w:instrText xml:space="preserve"> PAGEREF _Toc345660734 \h </w:instrText>
            </w:r>
            <w:r w:rsidR="009D5D1F">
              <w:rPr>
                <w:noProof/>
                <w:webHidden/>
              </w:rPr>
            </w:r>
            <w:r w:rsidR="009D5D1F">
              <w:rPr>
                <w:noProof/>
                <w:webHidden/>
              </w:rPr>
              <w:fldChar w:fldCharType="separate"/>
            </w:r>
            <w:r w:rsidR="009D5D1F">
              <w:rPr>
                <w:noProof/>
                <w:webHidden/>
              </w:rPr>
              <w:t>1</w:t>
            </w:r>
            <w:r w:rsidR="009D5D1F">
              <w:rPr>
                <w:noProof/>
                <w:webHidden/>
              </w:rPr>
              <w:fldChar w:fldCharType="end"/>
            </w:r>
          </w:hyperlink>
        </w:p>
        <w:p w:rsidR="009D5D1F" w:rsidRDefault="005278F1">
          <w:pPr>
            <w:pStyle w:val="TOC1"/>
            <w:tabs>
              <w:tab w:val="left" w:pos="480"/>
              <w:tab w:val="right" w:leader="dot" w:pos="9350"/>
            </w:tabs>
            <w:rPr>
              <w:rFonts w:eastAsiaTheme="minorEastAsia"/>
              <w:noProof/>
              <w:sz w:val="22"/>
            </w:rPr>
          </w:pPr>
          <w:hyperlink w:anchor="_Toc345660735" w:history="1">
            <w:r w:rsidR="009D5D1F" w:rsidRPr="00C51833">
              <w:rPr>
                <w:rStyle w:val="Hyperlink"/>
                <w:noProof/>
              </w:rPr>
              <w:t>II.</w:t>
            </w:r>
            <w:r w:rsidR="009D5D1F">
              <w:rPr>
                <w:rFonts w:eastAsiaTheme="minorEastAsia"/>
                <w:noProof/>
                <w:sz w:val="22"/>
              </w:rPr>
              <w:tab/>
            </w:r>
            <w:r w:rsidR="009D5D1F" w:rsidRPr="00C51833">
              <w:rPr>
                <w:rStyle w:val="Hyperlink"/>
                <w:noProof/>
              </w:rPr>
              <w:t>BLM Digitizer Module Data Acquisition</w:t>
            </w:r>
            <w:r w:rsidR="009D5D1F">
              <w:rPr>
                <w:noProof/>
                <w:webHidden/>
              </w:rPr>
              <w:tab/>
            </w:r>
            <w:r w:rsidR="009D5D1F">
              <w:rPr>
                <w:noProof/>
                <w:webHidden/>
              </w:rPr>
              <w:fldChar w:fldCharType="begin"/>
            </w:r>
            <w:r w:rsidR="009D5D1F">
              <w:rPr>
                <w:noProof/>
                <w:webHidden/>
              </w:rPr>
              <w:instrText xml:space="preserve"> PAGEREF _Toc345660735 \h </w:instrText>
            </w:r>
            <w:r w:rsidR="009D5D1F">
              <w:rPr>
                <w:noProof/>
                <w:webHidden/>
              </w:rPr>
            </w:r>
            <w:r w:rsidR="009D5D1F">
              <w:rPr>
                <w:noProof/>
                <w:webHidden/>
              </w:rPr>
              <w:fldChar w:fldCharType="separate"/>
            </w:r>
            <w:r w:rsidR="009D5D1F">
              <w:rPr>
                <w:noProof/>
                <w:webHidden/>
              </w:rPr>
              <w:t>2</w:t>
            </w:r>
            <w:r w:rsidR="009D5D1F">
              <w:rPr>
                <w:noProof/>
                <w:webHidden/>
              </w:rPr>
              <w:fldChar w:fldCharType="end"/>
            </w:r>
          </w:hyperlink>
        </w:p>
        <w:p w:rsidR="009D5D1F" w:rsidRDefault="005278F1">
          <w:pPr>
            <w:pStyle w:val="TOC1"/>
            <w:tabs>
              <w:tab w:val="left" w:pos="480"/>
              <w:tab w:val="right" w:leader="dot" w:pos="9350"/>
            </w:tabs>
            <w:rPr>
              <w:rFonts w:eastAsiaTheme="minorEastAsia"/>
              <w:noProof/>
              <w:sz w:val="22"/>
            </w:rPr>
          </w:pPr>
          <w:hyperlink w:anchor="_Toc345660736" w:history="1">
            <w:r w:rsidR="009D5D1F" w:rsidRPr="00C51833">
              <w:rPr>
                <w:rStyle w:val="Hyperlink"/>
                <w:noProof/>
              </w:rPr>
              <w:t>III.</w:t>
            </w:r>
            <w:r w:rsidR="009D5D1F">
              <w:rPr>
                <w:rFonts w:eastAsiaTheme="minorEastAsia"/>
                <w:noProof/>
                <w:sz w:val="22"/>
              </w:rPr>
              <w:tab/>
            </w:r>
            <w:r w:rsidR="009D5D1F" w:rsidRPr="00C51833">
              <w:rPr>
                <w:rStyle w:val="Hyperlink"/>
                <w:noProof/>
              </w:rPr>
              <w:t>Summary of the BLM DAQ Process</w:t>
            </w:r>
            <w:r w:rsidR="009D5D1F">
              <w:rPr>
                <w:noProof/>
                <w:webHidden/>
              </w:rPr>
              <w:tab/>
            </w:r>
            <w:r w:rsidR="009D5D1F">
              <w:rPr>
                <w:noProof/>
                <w:webHidden/>
              </w:rPr>
              <w:fldChar w:fldCharType="begin"/>
            </w:r>
            <w:r w:rsidR="009D5D1F">
              <w:rPr>
                <w:noProof/>
                <w:webHidden/>
              </w:rPr>
              <w:instrText xml:space="preserve"> PAGEREF _Toc345660736 \h </w:instrText>
            </w:r>
            <w:r w:rsidR="009D5D1F">
              <w:rPr>
                <w:noProof/>
                <w:webHidden/>
              </w:rPr>
            </w:r>
            <w:r w:rsidR="009D5D1F">
              <w:rPr>
                <w:noProof/>
                <w:webHidden/>
              </w:rPr>
              <w:fldChar w:fldCharType="separate"/>
            </w:r>
            <w:r w:rsidR="009D5D1F">
              <w:rPr>
                <w:noProof/>
                <w:webHidden/>
              </w:rPr>
              <w:t>3</w:t>
            </w:r>
            <w:r w:rsidR="009D5D1F">
              <w:rPr>
                <w:noProof/>
                <w:webHidden/>
              </w:rPr>
              <w:fldChar w:fldCharType="end"/>
            </w:r>
          </w:hyperlink>
        </w:p>
        <w:p w:rsidR="009D5D1F" w:rsidRDefault="005278F1">
          <w:pPr>
            <w:pStyle w:val="TOC1"/>
            <w:tabs>
              <w:tab w:val="left" w:pos="480"/>
              <w:tab w:val="right" w:leader="dot" w:pos="9350"/>
            </w:tabs>
            <w:rPr>
              <w:rFonts w:eastAsiaTheme="minorEastAsia"/>
              <w:noProof/>
              <w:sz w:val="22"/>
            </w:rPr>
          </w:pPr>
          <w:hyperlink w:anchor="_Toc345660737" w:history="1">
            <w:r w:rsidR="009D5D1F" w:rsidRPr="00C51833">
              <w:rPr>
                <w:rStyle w:val="Hyperlink"/>
                <w:noProof/>
              </w:rPr>
              <w:t>IV.</w:t>
            </w:r>
            <w:r w:rsidR="009D5D1F">
              <w:rPr>
                <w:rFonts w:eastAsiaTheme="minorEastAsia"/>
                <w:noProof/>
                <w:sz w:val="22"/>
              </w:rPr>
              <w:tab/>
            </w:r>
            <w:r w:rsidR="009D5D1F" w:rsidRPr="00C51833">
              <w:rPr>
                <w:rStyle w:val="Hyperlink"/>
                <w:noProof/>
              </w:rPr>
              <w:t>Signal Processing: Computing of Various Sums</w:t>
            </w:r>
            <w:r w:rsidR="009D5D1F">
              <w:rPr>
                <w:noProof/>
                <w:webHidden/>
              </w:rPr>
              <w:tab/>
            </w:r>
            <w:r w:rsidR="009D5D1F">
              <w:rPr>
                <w:noProof/>
                <w:webHidden/>
              </w:rPr>
              <w:fldChar w:fldCharType="begin"/>
            </w:r>
            <w:r w:rsidR="009D5D1F">
              <w:rPr>
                <w:noProof/>
                <w:webHidden/>
              </w:rPr>
              <w:instrText xml:space="preserve"> PAGEREF _Toc345660737 \h </w:instrText>
            </w:r>
            <w:r w:rsidR="009D5D1F">
              <w:rPr>
                <w:noProof/>
                <w:webHidden/>
              </w:rPr>
            </w:r>
            <w:r w:rsidR="009D5D1F">
              <w:rPr>
                <w:noProof/>
                <w:webHidden/>
              </w:rPr>
              <w:fldChar w:fldCharType="separate"/>
            </w:r>
            <w:r w:rsidR="009D5D1F">
              <w:rPr>
                <w:noProof/>
                <w:webHidden/>
              </w:rPr>
              <w:t>4</w:t>
            </w:r>
            <w:r w:rsidR="009D5D1F">
              <w:rPr>
                <w:noProof/>
                <w:webHidden/>
              </w:rPr>
              <w:fldChar w:fldCharType="end"/>
            </w:r>
          </w:hyperlink>
        </w:p>
        <w:p w:rsidR="009D5D1F" w:rsidRDefault="005278F1">
          <w:pPr>
            <w:pStyle w:val="TOC2"/>
            <w:tabs>
              <w:tab w:val="left" w:pos="880"/>
              <w:tab w:val="right" w:leader="dot" w:pos="9350"/>
            </w:tabs>
            <w:rPr>
              <w:rFonts w:eastAsiaTheme="minorEastAsia"/>
              <w:noProof/>
              <w:sz w:val="22"/>
            </w:rPr>
          </w:pPr>
          <w:hyperlink w:anchor="_Toc345660738" w:history="1">
            <w:r w:rsidR="009D5D1F" w:rsidRPr="00C51833">
              <w:rPr>
                <w:rStyle w:val="Hyperlink"/>
                <w:noProof/>
              </w:rPr>
              <w:t>IV.1</w:t>
            </w:r>
            <w:r w:rsidR="009D5D1F">
              <w:rPr>
                <w:rFonts w:eastAsiaTheme="minorEastAsia"/>
                <w:noProof/>
                <w:sz w:val="22"/>
              </w:rPr>
              <w:tab/>
            </w:r>
            <w:r w:rsidR="009D5D1F" w:rsidRPr="00C51833">
              <w:rPr>
                <w:rStyle w:val="Hyperlink"/>
                <w:noProof/>
              </w:rPr>
              <w:t>The Base 80 μs Integration Samples</w:t>
            </w:r>
            <w:r w:rsidR="009D5D1F">
              <w:rPr>
                <w:noProof/>
                <w:webHidden/>
              </w:rPr>
              <w:tab/>
            </w:r>
            <w:r w:rsidR="009D5D1F">
              <w:rPr>
                <w:noProof/>
                <w:webHidden/>
              </w:rPr>
              <w:fldChar w:fldCharType="begin"/>
            </w:r>
            <w:r w:rsidR="009D5D1F">
              <w:rPr>
                <w:noProof/>
                <w:webHidden/>
              </w:rPr>
              <w:instrText xml:space="preserve"> PAGEREF _Toc345660738 \h </w:instrText>
            </w:r>
            <w:r w:rsidR="009D5D1F">
              <w:rPr>
                <w:noProof/>
                <w:webHidden/>
              </w:rPr>
            </w:r>
            <w:r w:rsidR="009D5D1F">
              <w:rPr>
                <w:noProof/>
                <w:webHidden/>
              </w:rPr>
              <w:fldChar w:fldCharType="separate"/>
            </w:r>
            <w:r w:rsidR="009D5D1F">
              <w:rPr>
                <w:noProof/>
                <w:webHidden/>
              </w:rPr>
              <w:t>5</w:t>
            </w:r>
            <w:r w:rsidR="009D5D1F">
              <w:rPr>
                <w:noProof/>
                <w:webHidden/>
              </w:rPr>
              <w:fldChar w:fldCharType="end"/>
            </w:r>
          </w:hyperlink>
        </w:p>
        <w:p w:rsidR="009D5D1F" w:rsidRDefault="005278F1">
          <w:pPr>
            <w:pStyle w:val="TOC3"/>
            <w:tabs>
              <w:tab w:val="left" w:pos="1320"/>
              <w:tab w:val="right" w:leader="dot" w:pos="9350"/>
            </w:tabs>
            <w:rPr>
              <w:rFonts w:eastAsiaTheme="minorEastAsia"/>
              <w:noProof/>
              <w:sz w:val="22"/>
            </w:rPr>
          </w:pPr>
          <w:hyperlink w:anchor="_Toc345660739" w:history="1">
            <w:r w:rsidR="009D5D1F" w:rsidRPr="00C51833">
              <w:rPr>
                <w:rStyle w:val="Hyperlink"/>
                <w:noProof/>
              </w:rPr>
              <w:t>IV.1.1</w:t>
            </w:r>
            <w:r w:rsidR="009D5D1F">
              <w:rPr>
                <w:rFonts w:eastAsiaTheme="minorEastAsia"/>
                <w:noProof/>
                <w:sz w:val="22"/>
              </w:rPr>
              <w:tab/>
            </w:r>
            <w:r w:rsidR="009D5D1F" w:rsidRPr="00C51833">
              <w:rPr>
                <w:rStyle w:val="Hyperlink"/>
                <w:noProof/>
              </w:rPr>
              <w:t>Ideal Scaling of Digitizer Values to Rads and Rads/Second</w:t>
            </w:r>
            <w:r w:rsidR="009D5D1F">
              <w:rPr>
                <w:noProof/>
                <w:webHidden/>
              </w:rPr>
              <w:tab/>
            </w:r>
            <w:r w:rsidR="009D5D1F">
              <w:rPr>
                <w:noProof/>
                <w:webHidden/>
              </w:rPr>
              <w:fldChar w:fldCharType="begin"/>
            </w:r>
            <w:r w:rsidR="009D5D1F">
              <w:rPr>
                <w:noProof/>
                <w:webHidden/>
              </w:rPr>
              <w:instrText xml:space="preserve"> PAGEREF _Toc345660739 \h </w:instrText>
            </w:r>
            <w:r w:rsidR="009D5D1F">
              <w:rPr>
                <w:noProof/>
                <w:webHidden/>
              </w:rPr>
            </w:r>
            <w:r w:rsidR="009D5D1F">
              <w:rPr>
                <w:noProof/>
                <w:webHidden/>
              </w:rPr>
              <w:fldChar w:fldCharType="separate"/>
            </w:r>
            <w:r w:rsidR="009D5D1F">
              <w:rPr>
                <w:noProof/>
                <w:webHidden/>
              </w:rPr>
              <w:t>5</w:t>
            </w:r>
            <w:r w:rsidR="009D5D1F">
              <w:rPr>
                <w:noProof/>
                <w:webHidden/>
              </w:rPr>
              <w:fldChar w:fldCharType="end"/>
            </w:r>
          </w:hyperlink>
        </w:p>
        <w:p w:rsidR="009D5D1F" w:rsidRDefault="005278F1">
          <w:pPr>
            <w:pStyle w:val="TOC2"/>
            <w:tabs>
              <w:tab w:val="left" w:pos="880"/>
              <w:tab w:val="right" w:leader="dot" w:pos="9350"/>
            </w:tabs>
            <w:rPr>
              <w:rFonts w:eastAsiaTheme="minorEastAsia"/>
              <w:noProof/>
              <w:sz w:val="22"/>
            </w:rPr>
          </w:pPr>
          <w:hyperlink w:anchor="_Toc345660740" w:history="1">
            <w:r w:rsidR="009D5D1F" w:rsidRPr="00C51833">
              <w:rPr>
                <w:rStyle w:val="Hyperlink"/>
                <w:noProof/>
              </w:rPr>
              <w:t>IV.2</w:t>
            </w:r>
            <w:r w:rsidR="009D5D1F">
              <w:rPr>
                <w:rFonts w:eastAsiaTheme="minorEastAsia"/>
                <w:noProof/>
                <w:sz w:val="22"/>
              </w:rPr>
              <w:tab/>
            </w:r>
            <w:r w:rsidR="009D5D1F" w:rsidRPr="00C51833">
              <w:rPr>
                <w:rStyle w:val="Hyperlink"/>
                <w:noProof/>
              </w:rPr>
              <w:t>The Full Cycle Sampled Accumulation (BLME Support)</w:t>
            </w:r>
            <w:r w:rsidR="009D5D1F">
              <w:rPr>
                <w:noProof/>
                <w:webHidden/>
              </w:rPr>
              <w:tab/>
            </w:r>
            <w:r w:rsidR="009D5D1F">
              <w:rPr>
                <w:noProof/>
                <w:webHidden/>
              </w:rPr>
              <w:fldChar w:fldCharType="begin"/>
            </w:r>
            <w:r w:rsidR="009D5D1F">
              <w:rPr>
                <w:noProof/>
                <w:webHidden/>
              </w:rPr>
              <w:instrText xml:space="preserve"> PAGEREF _Toc345660740 \h </w:instrText>
            </w:r>
            <w:r w:rsidR="009D5D1F">
              <w:rPr>
                <w:noProof/>
                <w:webHidden/>
              </w:rPr>
            </w:r>
            <w:r w:rsidR="009D5D1F">
              <w:rPr>
                <w:noProof/>
                <w:webHidden/>
              </w:rPr>
              <w:fldChar w:fldCharType="separate"/>
            </w:r>
            <w:r w:rsidR="009D5D1F">
              <w:rPr>
                <w:noProof/>
                <w:webHidden/>
              </w:rPr>
              <w:t>6</w:t>
            </w:r>
            <w:r w:rsidR="009D5D1F">
              <w:rPr>
                <w:noProof/>
                <w:webHidden/>
              </w:rPr>
              <w:fldChar w:fldCharType="end"/>
            </w:r>
          </w:hyperlink>
        </w:p>
        <w:p w:rsidR="009D5D1F" w:rsidRDefault="005278F1">
          <w:pPr>
            <w:pStyle w:val="TOC2"/>
            <w:tabs>
              <w:tab w:val="left" w:pos="880"/>
              <w:tab w:val="right" w:leader="dot" w:pos="9350"/>
            </w:tabs>
            <w:rPr>
              <w:rFonts w:eastAsiaTheme="minorEastAsia"/>
              <w:noProof/>
              <w:sz w:val="22"/>
            </w:rPr>
          </w:pPr>
          <w:hyperlink w:anchor="_Toc345660741" w:history="1">
            <w:r w:rsidR="009D5D1F" w:rsidRPr="00C51833">
              <w:rPr>
                <w:rStyle w:val="Hyperlink"/>
                <w:noProof/>
              </w:rPr>
              <w:t>IV.3</w:t>
            </w:r>
            <w:r w:rsidR="009D5D1F">
              <w:rPr>
                <w:rFonts w:eastAsiaTheme="minorEastAsia"/>
                <w:noProof/>
                <w:sz w:val="22"/>
              </w:rPr>
              <w:tab/>
            </w:r>
            <w:r w:rsidR="009D5D1F" w:rsidRPr="00C51833">
              <w:rPr>
                <w:rStyle w:val="Hyperlink"/>
                <w:noProof/>
              </w:rPr>
              <w:t>The 1 ms Integration Samples</w:t>
            </w:r>
            <w:r w:rsidR="009D5D1F">
              <w:rPr>
                <w:noProof/>
                <w:webHidden/>
              </w:rPr>
              <w:tab/>
            </w:r>
            <w:r w:rsidR="009D5D1F">
              <w:rPr>
                <w:noProof/>
                <w:webHidden/>
              </w:rPr>
              <w:fldChar w:fldCharType="begin"/>
            </w:r>
            <w:r w:rsidR="009D5D1F">
              <w:rPr>
                <w:noProof/>
                <w:webHidden/>
              </w:rPr>
              <w:instrText xml:space="preserve"> PAGEREF _Toc345660741 \h </w:instrText>
            </w:r>
            <w:r w:rsidR="009D5D1F">
              <w:rPr>
                <w:noProof/>
                <w:webHidden/>
              </w:rPr>
            </w:r>
            <w:r w:rsidR="009D5D1F">
              <w:rPr>
                <w:noProof/>
                <w:webHidden/>
              </w:rPr>
              <w:fldChar w:fldCharType="separate"/>
            </w:r>
            <w:r w:rsidR="009D5D1F">
              <w:rPr>
                <w:noProof/>
                <w:webHidden/>
              </w:rPr>
              <w:t>7</w:t>
            </w:r>
            <w:r w:rsidR="009D5D1F">
              <w:rPr>
                <w:noProof/>
                <w:webHidden/>
              </w:rPr>
              <w:fldChar w:fldCharType="end"/>
            </w:r>
          </w:hyperlink>
        </w:p>
        <w:p w:rsidR="009D5D1F" w:rsidRDefault="005278F1">
          <w:pPr>
            <w:pStyle w:val="TOC2"/>
            <w:tabs>
              <w:tab w:val="left" w:pos="880"/>
              <w:tab w:val="right" w:leader="dot" w:pos="9350"/>
            </w:tabs>
            <w:rPr>
              <w:rFonts w:eastAsiaTheme="minorEastAsia"/>
              <w:noProof/>
              <w:sz w:val="22"/>
            </w:rPr>
          </w:pPr>
          <w:hyperlink w:anchor="_Toc345660742" w:history="1">
            <w:r w:rsidR="009D5D1F" w:rsidRPr="00C51833">
              <w:rPr>
                <w:rStyle w:val="Hyperlink"/>
                <w:noProof/>
              </w:rPr>
              <w:t>IV.4</w:t>
            </w:r>
            <w:r w:rsidR="009D5D1F">
              <w:rPr>
                <w:rFonts w:eastAsiaTheme="minorEastAsia"/>
                <w:noProof/>
                <w:sz w:val="22"/>
              </w:rPr>
              <w:tab/>
            </w:r>
            <w:r w:rsidR="009D5D1F" w:rsidRPr="00C51833">
              <w:rPr>
                <w:rStyle w:val="Hyperlink"/>
                <w:noProof/>
              </w:rPr>
              <w:t>The 100 Second Moving Sums (BLMS Support)</w:t>
            </w:r>
            <w:r w:rsidR="009D5D1F">
              <w:rPr>
                <w:noProof/>
                <w:webHidden/>
              </w:rPr>
              <w:tab/>
            </w:r>
            <w:r w:rsidR="009D5D1F">
              <w:rPr>
                <w:noProof/>
                <w:webHidden/>
              </w:rPr>
              <w:fldChar w:fldCharType="begin"/>
            </w:r>
            <w:r w:rsidR="009D5D1F">
              <w:rPr>
                <w:noProof/>
                <w:webHidden/>
              </w:rPr>
              <w:instrText xml:space="preserve"> PAGEREF _Toc345660742 \h </w:instrText>
            </w:r>
            <w:r w:rsidR="009D5D1F">
              <w:rPr>
                <w:noProof/>
                <w:webHidden/>
              </w:rPr>
            </w:r>
            <w:r w:rsidR="009D5D1F">
              <w:rPr>
                <w:noProof/>
                <w:webHidden/>
              </w:rPr>
              <w:fldChar w:fldCharType="separate"/>
            </w:r>
            <w:r w:rsidR="009D5D1F">
              <w:rPr>
                <w:noProof/>
                <w:webHidden/>
              </w:rPr>
              <w:t>8</w:t>
            </w:r>
            <w:r w:rsidR="009D5D1F">
              <w:rPr>
                <w:noProof/>
                <w:webHidden/>
              </w:rPr>
              <w:fldChar w:fldCharType="end"/>
            </w:r>
          </w:hyperlink>
        </w:p>
        <w:p w:rsidR="009D5D1F" w:rsidRDefault="005278F1">
          <w:pPr>
            <w:pStyle w:val="TOC2"/>
            <w:tabs>
              <w:tab w:val="left" w:pos="880"/>
              <w:tab w:val="right" w:leader="dot" w:pos="9350"/>
            </w:tabs>
            <w:rPr>
              <w:rFonts w:eastAsiaTheme="minorEastAsia"/>
              <w:noProof/>
              <w:sz w:val="22"/>
            </w:rPr>
          </w:pPr>
          <w:hyperlink w:anchor="_Toc345660743" w:history="1">
            <w:r w:rsidR="009D5D1F" w:rsidRPr="00C51833">
              <w:rPr>
                <w:rStyle w:val="Hyperlink"/>
                <w:noProof/>
              </w:rPr>
              <w:t>IV.5</w:t>
            </w:r>
            <w:r w:rsidR="009D5D1F">
              <w:rPr>
                <w:rFonts w:eastAsiaTheme="minorEastAsia"/>
                <w:noProof/>
                <w:sz w:val="22"/>
              </w:rPr>
              <w:tab/>
            </w:r>
            <w:r w:rsidR="009D5D1F" w:rsidRPr="00C51833">
              <w:rPr>
                <w:rStyle w:val="Hyperlink"/>
                <w:noProof/>
              </w:rPr>
              <w:t>The 7.5 Hz Waveform Buffers (RETDAT Support)</w:t>
            </w:r>
            <w:r w:rsidR="009D5D1F">
              <w:rPr>
                <w:noProof/>
                <w:webHidden/>
              </w:rPr>
              <w:tab/>
            </w:r>
            <w:r w:rsidR="009D5D1F">
              <w:rPr>
                <w:noProof/>
                <w:webHidden/>
              </w:rPr>
              <w:fldChar w:fldCharType="begin"/>
            </w:r>
            <w:r w:rsidR="009D5D1F">
              <w:rPr>
                <w:noProof/>
                <w:webHidden/>
              </w:rPr>
              <w:instrText xml:space="preserve"> PAGEREF _Toc345660743 \h </w:instrText>
            </w:r>
            <w:r w:rsidR="009D5D1F">
              <w:rPr>
                <w:noProof/>
                <w:webHidden/>
              </w:rPr>
            </w:r>
            <w:r w:rsidR="009D5D1F">
              <w:rPr>
                <w:noProof/>
                <w:webHidden/>
              </w:rPr>
              <w:fldChar w:fldCharType="separate"/>
            </w:r>
            <w:r w:rsidR="009D5D1F">
              <w:rPr>
                <w:noProof/>
                <w:webHidden/>
              </w:rPr>
              <w:t>9</w:t>
            </w:r>
            <w:r w:rsidR="009D5D1F">
              <w:rPr>
                <w:noProof/>
                <w:webHidden/>
              </w:rPr>
              <w:fldChar w:fldCharType="end"/>
            </w:r>
          </w:hyperlink>
        </w:p>
        <w:p w:rsidR="009D5D1F" w:rsidRDefault="005278F1">
          <w:pPr>
            <w:pStyle w:val="TOC1"/>
            <w:tabs>
              <w:tab w:val="left" w:pos="480"/>
              <w:tab w:val="right" w:leader="dot" w:pos="9350"/>
            </w:tabs>
            <w:rPr>
              <w:rFonts w:eastAsiaTheme="minorEastAsia"/>
              <w:noProof/>
              <w:sz w:val="22"/>
            </w:rPr>
          </w:pPr>
          <w:hyperlink w:anchor="_Toc345660744" w:history="1">
            <w:r w:rsidR="009D5D1F" w:rsidRPr="00C51833">
              <w:rPr>
                <w:rStyle w:val="Hyperlink"/>
                <w:noProof/>
              </w:rPr>
              <w:t>V.</w:t>
            </w:r>
            <w:r w:rsidR="009D5D1F">
              <w:rPr>
                <w:rFonts w:eastAsiaTheme="minorEastAsia"/>
                <w:noProof/>
                <w:sz w:val="22"/>
              </w:rPr>
              <w:tab/>
            </w:r>
            <w:r w:rsidR="009D5D1F" w:rsidRPr="00C51833">
              <w:rPr>
                <w:rStyle w:val="Hyperlink"/>
                <w:noProof/>
              </w:rPr>
              <w:t>BLM Digitizer Calibration</w:t>
            </w:r>
            <w:r w:rsidR="009D5D1F">
              <w:rPr>
                <w:noProof/>
                <w:webHidden/>
              </w:rPr>
              <w:tab/>
            </w:r>
            <w:r w:rsidR="009D5D1F">
              <w:rPr>
                <w:noProof/>
                <w:webHidden/>
              </w:rPr>
              <w:fldChar w:fldCharType="begin"/>
            </w:r>
            <w:r w:rsidR="009D5D1F">
              <w:rPr>
                <w:noProof/>
                <w:webHidden/>
              </w:rPr>
              <w:instrText xml:space="preserve"> PAGEREF _Toc345660744 \h </w:instrText>
            </w:r>
            <w:r w:rsidR="009D5D1F">
              <w:rPr>
                <w:noProof/>
                <w:webHidden/>
              </w:rPr>
            </w:r>
            <w:r w:rsidR="009D5D1F">
              <w:rPr>
                <w:noProof/>
                <w:webHidden/>
              </w:rPr>
              <w:fldChar w:fldCharType="separate"/>
            </w:r>
            <w:r w:rsidR="009D5D1F">
              <w:rPr>
                <w:noProof/>
                <w:webHidden/>
              </w:rPr>
              <w:t>10</w:t>
            </w:r>
            <w:r w:rsidR="009D5D1F">
              <w:rPr>
                <w:noProof/>
                <w:webHidden/>
              </w:rPr>
              <w:fldChar w:fldCharType="end"/>
            </w:r>
          </w:hyperlink>
        </w:p>
        <w:p w:rsidR="009D5D1F" w:rsidRDefault="005278F1">
          <w:pPr>
            <w:pStyle w:val="TOC2"/>
            <w:tabs>
              <w:tab w:val="left" w:pos="880"/>
              <w:tab w:val="right" w:leader="dot" w:pos="9350"/>
            </w:tabs>
            <w:rPr>
              <w:rFonts w:eastAsiaTheme="minorEastAsia"/>
              <w:noProof/>
              <w:sz w:val="22"/>
            </w:rPr>
          </w:pPr>
          <w:hyperlink w:anchor="_Toc345660745" w:history="1">
            <w:r w:rsidR="009D5D1F" w:rsidRPr="00C51833">
              <w:rPr>
                <w:rStyle w:val="Hyperlink"/>
                <w:noProof/>
              </w:rPr>
              <w:t>V.1</w:t>
            </w:r>
            <w:r w:rsidR="009D5D1F">
              <w:rPr>
                <w:rFonts w:eastAsiaTheme="minorEastAsia"/>
                <w:noProof/>
                <w:sz w:val="22"/>
              </w:rPr>
              <w:tab/>
            </w:r>
            <w:r w:rsidR="009D5D1F" w:rsidRPr="00C51833">
              <w:rPr>
                <w:rStyle w:val="Hyperlink"/>
                <w:noProof/>
              </w:rPr>
              <w:t>Scaling for the New Integrator</w:t>
            </w:r>
            <w:r w:rsidR="009D5D1F">
              <w:rPr>
                <w:noProof/>
                <w:webHidden/>
              </w:rPr>
              <w:tab/>
            </w:r>
            <w:r w:rsidR="009D5D1F">
              <w:rPr>
                <w:noProof/>
                <w:webHidden/>
              </w:rPr>
              <w:fldChar w:fldCharType="begin"/>
            </w:r>
            <w:r w:rsidR="009D5D1F">
              <w:rPr>
                <w:noProof/>
                <w:webHidden/>
              </w:rPr>
              <w:instrText xml:space="preserve"> PAGEREF _Toc345660745 \h </w:instrText>
            </w:r>
            <w:r w:rsidR="009D5D1F">
              <w:rPr>
                <w:noProof/>
                <w:webHidden/>
              </w:rPr>
            </w:r>
            <w:r w:rsidR="009D5D1F">
              <w:rPr>
                <w:noProof/>
                <w:webHidden/>
              </w:rPr>
              <w:fldChar w:fldCharType="separate"/>
            </w:r>
            <w:r w:rsidR="009D5D1F">
              <w:rPr>
                <w:noProof/>
                <w:webHidden/>
              </w:rPr>
              <w:t>10</w:t>
            </w:r>
            <w:r w:rsidR="009D5D1F">
              <w:rPr>
                <w:noProof/>
                <w:webHidden/>
              </w:rPr>
              <w:fldChar w:fldCharType="end"/>
            </w:r>
          </w:hyperlink>
        </w:p>
        <w:p w:rsidR="009D5D1F" w:rsidRDefault="005278F1">
          <w:pPr>
            <w:pStyle w:val="TOC2"/>
            <w:tabs>
              <w:tab w:val="left" w:pos="880"/>
              <w:tab w:val="right" w:leader="dot" w:pos="9350"/>
            </w:tabs>
            <w:rPr>
              <w:rFonts w:eastAsiaTheme="minorEastAsia"/>
              <w:noProof/>
              <w:sz w:val="22"/>
            </w:rPr>
          </w:pPr>
          <w:hyperlink w:anchor="_Toc345660746" w:history="1">
            <w:r w:rsidR="009D5D1F" w:rsidRPr="00C51833">
              <w:rPr>
                <w:rStyle w:val="Hyperlink"/>
                <w:noProof/>
              </w:rPr>
              <w:t>V.2</w:t>
            </w:r>
            <w:r w:rsidR="009D5D1F">
              <w:rPr>
                <w:rFonts w:eastAsiaTheme="minorEastAsia"/>
                <w:noProof/>
                <w:sz w:val="22"/>
              </w:rPr>
              <w:tab/>
            </w:r>
            <w:r w:rsidR="009D5D1F" w:rsidRPr="00C51833">
              <w:rPr>
                <w:rStyle w:val="Hyperlink"/>
                <w:noProof/>
              </w:rPr>
              <w:t>Justification for Using 16 bit Integer Values for Booster Losses</w:t>
            </w:r>
            <w:r w:rsidR="009D5D1F">
              <w:rPr>
                <w:noProof/>
                <w:webHidden/>
              </w:rPr>
              <w:tab/>
            </w:r>
            <w:r w:rsidR="009D5D1F">
              <w:rPr>
                <w:noProof/>
                <w:webHidden/>
              </w:rPr>
              <w:fldChar w:fldCharType="begin"/>
            </w:r>
            <w:r w:rsidR="009D5D1F">
              <w:rPr>
                <w:noProof/>
                <w:webHidden/>
              </w:rPr>
              <w:instrText xml:space="preserve"> PAGEREF _Toc345660746 \h </w:instrText>
            </w:r>
            <w:r w:rsidR="009D5D1F">
              <w:rPr>
                <w:noProof/>
                <w:webHidden/>
              </w:rPr>
            </w:r>
            <w:r w:rsidR="009D5D1F">
              <w:rPr>
                <w:noProof/>
                <w:webHidden/>
              </w:rPr>
              <w:fldChar w:fldCharType="separate"/>
            </w:r>
            <w:r w:rsidR="009D5D1F">
              <w:rPr>
                <w:noProof/>
                <w:webHidden/>
              </w:rPr>
              <w:t>11</w:t>
            </w:r>
            <w:r w:rsidR="009D5D1F">
              <w:rPr>
                <w:noProof/>
                <w:webHidden/>
              </w:rPr>
              <w:fldChar w:fldCharType="end"/>
            </w:r>
          </w:hyperlink>
        </w:p>
        <w:p w:rsidR="009D5D1F" w:rsidRDefault="005278F1">
          <w:pPr>
            <w:pStyle w:val="TOC1"/>
            <w:tabs>
              <w:tab w:val="left" w:pos="480"/>
              <w:tab w:val="right" w:leader="dot" w:pos="9350"/>
            </w:tabs>
            <w:rPr>
              <w:rFonts w:eastAsiaTheme="minorEastAsia"/>
              <w:noProof/>
              <w:sz w:val="22"/>
            </w:rPr>
          </w:pPr>
          <w:hyperlink w:anchor="_Toc345660747" w:history="1">
            <w:r w:rsidR="009D5D1F" w:rsidRPr="00C51833">
              <w:rPr>
                <w:rStyle w:val="Hyperlink"/>
                <w:noProof/>
              </w:rPr>
              <w:t>VI.</w:t>
            </w:r>
            <w:r w:rsidR="009D5D1F">
              <w:rPr>
                <w:rFonts w:eastAsiaTheme="minorEastAsia"/>
                <w:noProof/>
                <w:sz w:val="22"/>
              </w:rPr>
              <w:tab/>
            </w:r>
            <w:r w:rsidR="009D5D1F" w:rsidRPr="00C51833">
              <w:rPr>
                <w:rStyle w:val="Hyperlink"/>
                <w:noProof/>
              </w:rPr>
              <w:t>Changes for the Operator</w:t>
            </w:r>
            <w:r w:rsidR="009D5D1F">
              <w:rPr>
                <w:noProof/>
                <w:webHidden/>
              </w:rPr>
              <w:tab/>
            </w:r>
            <w:r w:rsidR="009D5D1F">
              <w:rPr>
                <w:noProof/>
                <w:webHidden/>
              </w:rPr>
              <w:fldChar w:fldCharType="begin"/>
            </w:r>
            <w:r w:rsidR="009D5D1F">
              <w:rPr>
                <w:noProof/>
                <w:webHidden/>
              </w:rPr>
              <w:instrText xml:space="preserve"> PAGEREF _Toc345660747 \h </w:instrText>
            </w:r>
            <w:r w:rsidR="009D5D1F">
              <w:rPr>
                <w:noProof/>
                <w:webHidden/>
              </w:rPr>
            </w:r>
            <w:r w:rsidR="009D5D1F">
              <w:rPr>
                <w:noProof/>
                <w:webHidden/>
              </w:rPr>
              <w:fldChar w:fldCharType="separate"/>
            </w:r>
            <w:r w:rsidR="009D5D1F">
              <w:rPr>
                <w:noProof/>
                <w:webHidden/>
              </w:rPr>
              <w:t>12</w:t>
            </w:r>
            <w:r w:rsidR="009D5D1F">
              <w:rPr>
                <w:noProof/>
                <w:webHidden/>
              </w:rPr>
              <w:fldChar w:fldCharType="end"/>
            </w:r>
          </w:hyperlink>
        </w:p>
        <w:p w:rsidR="009D5D1F" w:rsidRDefault="005278F1">
          <w:pPr>
            <w:pStyle w:val="TOC1"/>
            <w:tabs>
              <w:tab w:val="right" w:leader="dot" w:pos="9350"/>
            </w:tabs>
            <w:rPr>
              <w:rFonts w:eastAsiaTheme="minorEastAsia"/>
              <w:noProof/>
              <w:sz w:val="22"/>
            </w:rPr>
          </w:pPr>
          <w:hyperlink w:anchor="_Toc345660748" w:history="1">
            <w:r w:rsidR="009D5D1F" w:rsidRPr="00C51833">
              <w:rPr>
                <w:rStyle w:val="Hyperlink"/>
                <w:noProof/>
              </w:rPr>
              <w:t>Appendix A:  Scaling for the Log Integrator</w:t>
            </w:r>
            <w:r w:rsidR="009D5D1F">
              <w:rPr>
                <w:noProof/>
                <w:webHidden/>
              </w:rPr>
              <w:tab/>
            </w:r>
            <w:r w:rsidR="009D5D1F">
              <w:rPr>
                <w:noProof/>
                <w:webHidden/>
              </w:rPr>
              <w:fldChar w:fldCharType="begin"/>
            </w:r>
            <w:r w:rsidR="009D5D1F">
              <w:rPr>
                <w:noProof/>
                <w:webHidden/>
              </w:rPr>
              <w:instrText xml:space="preserve"> PAGEREF _Toc345660748 \h </w:instrText>
            </w:r>
            <w:r w:rsidR="009D5D1F">
              <w:rPr>
                <w:noProof/>
                <w:webHidden/>
              </w:rPr>
            </w:r>
            <w:r w:rsidR="009D5D1F">
              <w:rPr>
                <w:noProof/>
                <w:webHidden/>
              </w:rPr>
              <w:fldChar w:fldCharType="separate"/>
            </w:r>
            <w:r w:rsidR="009D5D1F">
              <w:rPr>
                <w:noProof/>
                <w:webHidden/>
              </w:rPr>
              <w:t>18</w:t>
            </w:r>
            <w:r w:rsidR="009D5D1F">
              <w:rPr>
                <w:noProof/>
                <w:webHidden/>
              </w:rPr>
              <w:fldChar w:fldCharType="end"/>
            </w:r>
          </w:hyperlink>
        </w:p>
        <w:p w:rsidR="00987202" w:rsidRDefault="00494BEF">
          <w:r>
            <w:fldChar w:fldCharType="end"/>
          </w:r>
        </w:p>
      </w:sdtContent>
    </w:sdt>
    <w:p w:rsidR="00303384" w:rsidRDefault="00303384" w:rsidP="00303384">
      <w:pPr>
        <w:jc w:val="center"/>
      </w:pPr>
    </w:p>
    <w:p w:rsidR="00303384" w:rsidRDefault="00303384" w:rsidP="00303384">
      <w:pPr>
        <w:jc w:val="center"/>
      </w:pPr>
    </w:p>
    <w:p w:rsidR="00303384" w:rsidRDefault="00303384" w:rsidP="00303384">
      <w:pPr>
        <w:jc w:val="center"/>
        <w:sectPr w:rsidR="00303384" w:rsidSect="00987202">
          <w:footerReference w:type="default" r:id="rId9"/>
          <w:pgSz w:w="12240" w:h="15840"/>
          <w:pgMar w:top="1440" w:right="1440" w:bottom="1440" w:left="1440" w:header="720" w:footer="720" w:gutter="0"/>
          <w:pgNumType w:fmt="lowerRoman"/>
          <w:cols w:space="720"/>
          <w:titlePg/>
          <w:docGrid w:linePitch="360"/>
        </w:sectPr>
      </w:pPr>
    </w:p>
    <w:p w:rsidR="00303384" w:rsidRDefault="00303384" w:rsidP="00303384">
      <w:pPr>
        <w:pStyle w:val="Heading1"/>
      </w:pPr>
      <w:bookmarkStart w:id="1" w:name="_Toc345660734"/>
      <w:r>
        <w:lastRenderedPageBreak/>
        <w:t>Introduction</w:t>
      </w:r>
      <w:bookmarkEnd w:id="1"/>
    </w:p>
    <w:p w:rsidR="00303384" w:rsidRDefault="00303384" w:rsidP="00303384">
      <w:r>
        <w:t xml:space="preserve">This note is to specify and document how the Booster Beam Loss Monitor data is collected </w:t>
      </w:r>
      <w:r w:rsidR="000E3DD3">
        <w:t xml:space="preserve">and processed </w:t>
      </w:r>
      <w:r w:rsidR="00924D0D">
        <w:t>u</w:t>
      </w:r>
      <w:r w:rsidR="009F1290">
        <w:t>s</w:t>
      </w:r>
      <w:r>
        <w:t xml:space="preserve">ing the </w:t>
      </w:r>
      <w:r w:rsidR="00924D0D">
        <w:t>B</w:t>
      </w:r>
      <w:r>
        <w:t>LM Integrator/</w:t>
      </w:r>
      <w:r w:rsidR="000656ED">
        <w:t>Digitizer</w:t>
      </w:r>
      <w:r>
        <w:t xml:space="preserve"> VME modules.  The following sections will describe how the BLM signals are digitized and the data </w:t>
      </w:r>
      <w:r w:rsidR="00751330">
        <w:t xml:space="preserve">processed into the </w:t>
      </w:r>
      <w:r>
        <w:t xml:space="preserve">different types of sums that are </w:t>
      </w:r>
      <w:r w:rsidR="00751330">
        <w:t>used to monitor and manage beam loss in the Booster</w:t>
      </w:r>
      <w:r>
        <w:t>.</w:t>
      </w:r>
    </w:p>
    <w:p w:rsidR="00A05992" w:rsidRDefault="00A53B29" w:rsidP="00A05992">
      <w:pPr>
        <w:tabs>
          <w:tab w:val="left" w:pos="720"/>
        </w:tabs>
        <w:suppressAutoHyphens/>
        <w:spacing w:after="240" w:line="240" w:lineRule="auto"/>
        <w:rPr>
          <w:rFonts w:cs="Arial"/>
        </w:rPr>
      </w:pPr>
      <w:r>
        <w:rPr>
          <w:rFonts w:cs="Arial"/>
        </w:rPr>
        <w:t xml:space="preserve">There are several </w:t>
      </w:r>
      <w:r w:rsidR="00924D0D">
        <w:rPr>
          <w:rFonts w:cs="Arial"/>
        </w:rPr>
        <w:t>use</w:t>
      </w:r>
      <w:r>
        <w:rPr>
          <w:rFonts w:cs="Arial"/>
        </w:rPr>
        <w:t>r application</w:t>
      </w:r>
      <w:r w:rsidR="00A05992">
        <w:rPr>
          <w:rFonts w:cs="Arial"/>
        </w:rPr>
        <w:t>s</w:t>
      </w:r>
      <w:r>
        <w:rPr>
          <w:rFonts w:cs="Arial"/>
        </w:rPr>
        <w:t xml:space="preserve"> that </w:t>
      </w:r>
      <w:r w:rsidR="00924D0D">
        <w:rPr>
          <w:rFonts w:cs="Arial"/>
        </w:rPr>
        <w:t>use</w:t>
      </w:r>
      <w:r>
        <w:rPr>
          <w:rFonts w:cs="Arial"/>
        </w:rPr>
        <w:t xml:space="preserve"> </w:t>
      </w:r>
      <w:r w:rsidR="00A05992">
        <w:rPr>
          <w:rFonts w:cs="Arial"/>
        </w:rPr>
        <w:t xml:space="preserve">different variations of </w:t>
      </w:r>
      <w:r>
        <w:rPr>
          <w:rFonts w:cs="Arial"/>
        </w:rPr>
        <w:t xml:space="preserve">the BLM Integrator data.  </w:t>
      </w: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base </w:t>
      </w:r>
      <w:r w:rsidR="00A05992">
        <w:rPr>
          <w:rFonts w:cs="Arial"/>
        </w:rPr>
        <w:t>“</w:t>
      </w:r>
      <w:r w:rsidRPr="00A05992">
        <w:rPr>
          <w:rFonts w:cs="Arial"/>
        </w:rPr>
        <w:t xml:space="preserve">80 </w:t>
      </w:r>
      <w:r w:rsidR="009F1290">
        <w:rPr>
          <w:rFonts w:cs="Arial"/>
        </w:rPr>
        <w:t>μs</w:t>
      </w:r>
      <w:r w:rsidRPr="00A05992">
        <w:rPr>
          <w:rFonts w:cs="Arial"/>
        </w:rPr>
        <w:t xml:space="preserve"> Integration Samples</w:t>
      </w:r>
      <w:r w:rsidR="00A05992">
        <w:rPr>
          <w:rFonts w:cs="Arial"/>
        </w:rPr>
        <w:t>”</w:t>
      </w:r>
      <w:r w:rsidRPr="00A05992">
        <w:rPr>
          <w:rFonts w:cs="Arial"/>
        </w:rPr>
        <w:t xml:space="preserve"> </w:t>
      </w:r>
      <w:r w:rsidR="00A05992">
        <w:rPr>
          <w:rFonts w:cs="Arial"/>
        </w:rPr>
        <w:t>are</w:t>
      </w:r>
      <w:r w:rsidRPr="00A05992">
        <w:rPr>
          <w:rFonts w:cs="Arial"/>
        </w:rPr>
        <w:t xml:space="preserve"> 500 values read from each </w:t>
      </w:r>
      <w:r w:rsidR="00924D0D">
        <w:rPr>
          <w:rFonts w:cs="Arial"/>
        </w:rPr>
        <w:t xml:space="preserve">BLM </w:t>
      </w:r>
      <w:r w:rsidRPr="00A05992">
        <w:rPr>
          <w:rFonts w:cs="Arial"/>
        </w:rPr>
        <w:t xml:space="preserve">channel, each Booster cycle.  From these samples are </w:t>
      </w:r>
      <w:r w:rsidR="00751330">
        <w:rPr>
          <w:rFonts w:cs="Arial"/>
        </w:rPr>
        <w:t xml:space="preserve">used to </w:t>
      </w:r>
      <w:r w:rsidRPr="00A05992">
        <w:rPr>
          <w:rFonts w:cs="Arial"/>
        </w:rPr>
        <w:t xml:space="preserve">derive all the other integration types.  </w:t>
      </w:r>
    </w:p>
    <w:p w:rsidR="00A05992" w:rsidRPr="00A05992" w:rsidRDefault="00A05992" w:rsidP="00A05992">
      <w:pPr>
        <w:pStyle w:val="ListParagraph"/>
        <w:tabs>
          <w:tab w:val="left" w:pos="720"/>
        </w:tabs>
        <w:suppressAutoHyphens/>
        <w:spacing w:after="240" w:line="240" w:lineRule="auto"/>
        <w:rPr>
          <w:rFonts w:cs="Arial"/>
        </w:rPr>
      </w:pPr>
    </w:p>
    <w:p w:rsidR="00611CD6"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“Full Cycle Sampled Accumulations” </w:t>
      </w:r>
      <w:r w:rsidR="001C1990">
        <w:rPr>
          <w:rFonts w:cs="Arial"/>
        </w:rPr>
        <w:t>is</w:t>
      </w:r>
      <w:r w:rsidRPr="00A05992">
        <w:rPr>
          <w:rFonts w:cs="Arial"/>
        </w:rPr>
        <w:t xml:space="preserve"> a </w:t>
      </w:r>
      <w:r w:rsidR="00611CD6">
        <w:rPr>
          <w:rFonts w:cs="Arial"/>
        </w:rPr>
        <w:t xml:space="preserve">32-bit </w:t>
      </w:r>
      <w:r w:rsidRPr="00A05992">
        <w:rPr>
          <w:rFonts w:cs="Arial"/>
        </w:rPr>
        <w:t xml:space="preserve">running sum of the 80 </w:t>
      </w:r>
      <w:r w:rsidR="009F1290">
        <w:rPr>
          <w:rFonts w:cs="Arial"/>
        </w:rPr>
        <w:t>μs</w:t>
      </w:r>
      <w:r w:rsidRPr="00A05992">
        <w:rPr>
          <w:rFonts w:cs="Arial"/>
        </w:rPr>
        <w:t xml:space="preserve"> samples</w:t>
      </w:r>
      <w:r w:rsidR="00A05992" w:rsidRPr="00A05992">
        <w:rPr>
          <w:rFonts w:cs="Arial"/>
        </w:rPr>
        <w:t xml:space="preserve"> over a single Booster cycle</w:t>
      </w:r>
      <w:r w:rsidR="000E3DD3">
        <w:rPr>
          <w:rFonts w:cs="Arial"/>
        </w:rPr>
        <w:t>.</w:t>
      </w:r>
      <w:r w:rsidR="00A05992" w:rsidRPr="00A05992">
        <w:rPr>
          <w:rFonts w:cs="Arial"/>
        </w:rPr>
        <w:t xml:space="preserve">  </w:t>
      </w:r>
    </w:p>
    <w:p w:rsidR="00611CD6" w:rsidRPr="00611CD6" w:rsidRDefault="00611CD6" w:rsidP="00611CD6">
      <w:pPr>
        <w:pStyle w:val="ListParagraph"/>
        <w:rPr>
          <w:rFonts w:cs="Arial"/>
        </w:rPr>
      </w:pPr>
    </w:p>
    <w:p w:rsidR="00AA7BAC" w:rsidRPr="00AA7BAC" w:rsidRDefault="00AA7BAC" w:rsidP="00AA7BAC">
      <w:pPr>
        <w:pStyle w:val="ListParagraph"/>
        <w:rPr>
          <w:rFonts w:cs="Arial"/>
        </w:rPr>
      </w:pPr>
    </w:p>
    <w:p w:rsidR="00AA7BAC" w:rsidRDefault="00AA7BAC" w:rsidP="00A05992">
      <w:pPr>
        <w:pStyle w:val="ListParagraph"/>
        <w:numPr>
          <w:ilvl w:val="0"/>
          <w:numId w:val="15"/>
        </w:numPr>
        <w:tabs>
          <w:tab w:val="left" w:pos="720"/>
        </w:tabs>
        <w:suppressAutoHyphens/>
        <w:spacing w:after="240" w:line="240" w:lineRule="auto"/>
        <w:rPr>
          <w:rFonts w:cs="Arial"/>
        </w:rPr>
      </w:pPr>
      <w:r>
        <w:rPr>
          <w:rFonts w:cs="Arial"/>
        </w:rPr>
        <w:t>The “7.5 Hz Waveform Buffers” manage the Full Cycle Sampled Accumulations for delivery</w:t>
      </w:r>
      <w:r w:rsidR="00924D0D">
        <w:rPr>
          <w:rFonts w:cs="Arial"/>
        </w:rPr>
        <w:t xml:space="preserve"> of</w:t>
      </w:r>
      <w:r>
        <w:rPr>
          <w:rFonts w:cs="Arial"/>
        </w:rPr>
        <w:t xml:space="preserve"> </w:t>
      </w:r>
      <w:r w:rsidR="007D4CDF">
        <w:rPr>
          <w:rFonts w:cs="Arial"/>
        </w:rPr>
        <w:t xml:space="preserve">two cycles </w:t>
      </w:r>
      <w:r>
        <w:rPr>
          <w:rFonts w:cs="Arial"/>
        </w:rPr>
        <w:t xml:space="preserve">of time stamped BLM data every other </w:t>
      </w:r>
      <w:r w:rsidR="00924D0D">
        <w:rPr>
          <w:rFonts w:cs="Arial"/>
        </w:rPr>
        <w:t xml:space="preserve">15 Hz </w:t>
      </w:r>
      <w:r>
        <w:rPr>
          <w:rFonts w:cs="Arial"/>
        </w:rPr>
        <w:t xml:space="preserve">cycle. </w:t>
      </w:r>
      <w:r w:rsidR="00F84C1D">
        <w:rPr>
          <w:rFonts w:cs="Arial"/>
        </w:rPr>
        <w:t xml:space="preserve"> </w:t>
      </w:r>
      <w:r w:rsidR="007D4CDF">
        <w:rPr>
          <w:rFonts w:cs="Arial"/>
        </w:rPr>
        <w:t xml:space="preserve">This data is </w:t>
      </w:r>
      <w:r w:rsidR="00924D0D">
        <w:rPr>
          <w:rFonts w:cs="Arial"/>
        </w:rPr>
        <w:t>used</w:t>
      </w:r>
      <w:r w:rsidR="007D4CDF">
        <w:rPr>
          <w:rFonts w:cs="Arial"/>
        </w:rPr>
        <w:t xml:space="preserve"> by certain applications</w:t>
      </w:r>
      <w:r w:rsidR="001C1990">
        <w:rPr>
          <w:rFonts w:cs="Arial"/>
        </w:rPr>
        <w:t>,</w:t>
      </w:r>
      <w:r w:rsidR="007D4CDF">
        <w:rPr>
          <w:rFonts w:cs="Arial"/>
        </w:rPr>
        <w:t xml:space="preserve"> such as B136</w:t>
      </w:r>
      <w:r w:rsidR="001C1990">
        <w:rPr>
          <w:rFonts w:cs="Arial"/>
        </w:rPr>
        <w:t xml:space="preserve"> BLM Cycle Plot</w:t>
      </w:r>
      <w:r w:rsidR="008E4180">
        <w:rPr>
          <w:rFonts w:cs="Arial"/>
        </w:rPr>
        <w:t xml:space="preserve"> and other JAVA based ACNET applications</w:t>
      </w:r>
      <w:r w:rsidR="001C1990">
        <w:rPr>
          <w:rFonts w:cs="Arial"/>
        </w:rPr>
        <w:t>.</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“1 ms Integrated Samples” are </w:t>
      </w:r>
      <w:r w:rsidR="00924D0D">
        <w:rPr>
          <w:rFonts w:cs="Arial"/>
        </w:rPr>
        <w:t>used</w:t>
      </w:r>
      <w:r w:rsidRPr="00A05992">
        <w:rPr>
          <w:rFonts w:cs="Arial"/>
        </w:rPr>
        <w:t xml:space="preserve"> for data logging</w:t>
      </w:r>
      <w:r w:rsidR="00A05992" w:rsidRPr="00A05992">
        <w:rPr>
          <w:rFonts w:cs="Arial"/>
        </w:rPr>
        <w:t xml:space="preserve"> for historical and </w:t>
      </w:r>
      <w:r w:rsidR="00924D0D">
        <w:rPr>
          <w:rFonts w:cs="Arial"/>
        </w:rPr>
        <w:t xml:space="preserve">Booster </w:t>
      </w:r>
      <w:r w:rsidR="00A05992" w:rsidRPr="00A05992">
        <w:rPr>
          <w:rFonts w:cs="Arial"/>
        </w:rPr>
        <w:t>studies purposes</w:t>
      </w:r>
      <w:r w:rsidRPr="00A05992">
        <w:rPr>
          <w:rFonts w:cs="Arial"/>
        </w:rPr>
        <w:t xml:space="preserve">.  </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303384">
      <w:pPr>
        <w:pStyle w:val="ListParagraph"/>
        <w:numPr>
          <w:ilvl w:val="0"/>
          <w:numId w:val="15"/>
        </w:numPr>
        <w:tabs>
          <w:tab w:val="left" w:pos="720"/>
        </w:tabs>
        <w:suppressAutoHyphens/>
        <w:spacing w:after="240" w:line="240" w:lineRule="auto"/>
        <w:rPr>
          <w:rFonts w:cs="Arial"/>
        </w:rPr>
      </w:pPr>
      <w:r w:rsidRPr="00A05992">
        <w:rPr>
          <w:rFonts w:cs="Arial"/>
        </w:rPr>
        <w:t xml:space="preserve">The “100 Second Moving Sums” are </w:t>
      </w:r>
      <w:r w:rsidR="00924D0D">
        <w:rPr>
          <w:rFonts w:cs="Arial"/>
        </w:rPr>
        <w:t>used</w:t>
      </w:r>
      <w:r w:rsidRPr="00A05992">
        <w:rPr>
          <w:rFonts w:cs="Arial"/>
        </w:rPr>
        <w:t xml:space="preserve"> for control room </w:t>
      </w:r>
      <w:r w:rsidR="008E4180">
        <w:rPr>
          <w:rFonts w:cs="Arial"/>
        </w:rPr>
        <w:t>bar graph</w:t>
      </w:r>
      <w:r w:rsidRPr="00A05992">
        <w:rPr>
          <w:rFonts w:cs="Arial"/>
        </w:rPr>
        <w:t xml:space="preserve"> displays and alarms.</w:t>
      </w:r>
    </w:p>
    <w:p w:rsidR="00ED029A" w:rsidRDefault="003B2DDC" w:rsidP="00ED029A">
      <w:pPr>
        <w:ind w:left="360"/>
        <w:rPr>
          <w:rFonts w:cs="Arial"/>
        </w:rPr>
      </w:pPr>
      <w:r>
        <w:rPr>
          <w:rFonts w:cs="Arial"/>
        </w:rPr>
        <w:t xml:space="preserve">You will see that there is an issue with the units of Rads/Second that has been “historically” attached to the Booster BLM data.  The Log Integrators were originally used in the Tevatron where beam is in the accelerator for long periods of time.  There, accelerator operators were concerned with the rate of beam loss energy impinging on the cryogenic super-conducting transport magnets.  The Log Integrators were calibrated according to the number of coulombs/second (amps) in to volts out.  </w:t>
      </w:r>
      <w:r w:rsidR="00ED029A">
        <w:rPr>
          <w:rFonts w:cs="Arial"/>
        </w:rPr>
        <w:t>Robert Schafer describes the Log Integrators in a note, “</w:t>
      </w:r>
      <w:r w:rsidR="00ED029A" w:rsidRPr="00ED029A">
        <w:rPr>
          <w:rFonts w:cs="Arial"/>
        </w:rPr>
        <w:t>Comments on the Tevatron BLM System</w:t>
      </w:r>
      <w:r w:rsidR="00ED029A">
        <w:rPr>
          <w:rFonts w:cs="Arial"/>
        </w:rPr>
        <w:t>,</w:t>
      </w:r>
      <w:r w:rsidR="00ED029A" w:rsidRPr="00ED029A">
        <w:rPr>
          <w:rFonts w:cs="Arial"/>
        </w:rPr>
        <w:t xml:space="preserve"> 7/22/2003</w:t>
      </w:r>
      <w:r w:rsidR="00ED029A">
        <w:rPr>
          <w:rFonts w:cs="Arial"/>
        </w:rPr>
        <w:t>”</w:t>
      </w:r>
    </w:p>
    <w:p w:rsidR="00ED029A" w:rsidRPr="00ED029A" w:rsidRDefault="00ED029A" w:rsidP="00ED029A">
      <w:pPr>
        <w:ind w:left="720" w:right="720"/>
        <w:rPr>
          <w:rFonts w:cs="PLJDNN+TimesNewRoman"/>
          <w:color w:val="000000"/>
          <w:sz w:val="20"/>
          <w:szCs w:val="20"/>
        </w:rPr>
      </w:pPr>
      <w:r w:rsidRPr="00ED029A">
        <w:rPr>
          <w:rFonts w:cs="PLJDNN+TimesNewRoman"/>
          <w:color w:val="000000"/>
          <w:sz w:val="20"/>
          <w:szCs w:val="20"/>
        </w:rPr>
        <w:t>With the 1/16 s leaky integration at the input, the output voltage was a rough indication of the probability of quenching a dipole magnet. Magnet quench threshold measurements made in the left bend of the extraction line to the Meson Area (by Roger Dixon?) showed that a superconducting dipole magnet could be quenched by roughly 0.5 mJ/gram (fast pulse), or 8 mJ/gram-s (slow loss) of radiation in the superconductor[3]. The ratio, 1/16 s, is the “time constant” of the superconducting cable</w:t>
      </w:r>
      <w:r w:rsidR="001F1AFB">
        <w:rPr>
          <w:rFonts w:cs="PLJDNN+TimesNewRoman"/>
          <w:color w:val="000000"/>
          <w:sz w:val="20"/>
          <w:szCs w:val="20"/>
        </w:rPr>
        <w:t>.</w:t>
      </w:r>
    </w:p>
    <w:p w:rsidR="00ED029A" w:rsidRDefault="00ED029A" w:rsidP="00C914FC">
      <w:pPr>
        <w:rPr>
          <w:rFonts w:cs="PLJDNN+TimesNewRoman"/>
          <w:color w:val="000000"/>
          <w:szCs w:val="24"/>
        </w:rPr>
      </w:pPr>
      <w:r w:rsidRPr="00810BB2">
        <w:rPr>
          <w:rFonts w:cs="PLJDNN+TimesNewRoman"/>
          <w:color w:val="000000"/>
          <w:szCs w:val="24"/>
        </w:rPr>
        <w:t xml:space="preserve">For beam loss in the Booster we are more concerned about the total beam loss, or the amount of sudden beam loss at points around the accelerator, and at points in time during the </w:t>
      </w:r>
      <w:r w:rsidRPr="00810BB2">
        <w:rPr>
          <w:rFonts w:cs="PLJDNN+TimesNewRoman"/>
          <w:color w:val="000000"/>
          <w:szCs w:val="24"/>
        </w:rPr>
        <w:lastRenderedPageBreak/>
        <w:t xml:space="preserve">acceleration cycle.  For the Booster, </w:t>
      </w:r>
      <w:r w:rsidR="001F1AFB">
        <w:rPr>
          <w:rFonts w:cs="PLJDNN+TimesNewRoman"/>
          <w:color w:val="000000"/>
          <w:szCs w:val="24"/>
        </w:rPr>
        <w:t xml:space="preserve">the more appropriate measurement </w:t>
      </w:r>
      <w:r w:rsidR="009A3139">
        <w:rPr>
          <w:rFonts w:cs="PLJDNN+TimesNewRoman"/>
          <w:color w:val="000000"/>
          <w:szCs w:val="24"/>
        </w:rPr>
        <w:t>is</w:t>
      </w:r>
      <w:r w:rsidR="001F1AFB">
        <w:rPr>
          <w:rFonts w:cs="PLJDNN+TimesNewRoman"/>
          <w:color w:val="000000"/>
          <w:szCs w:val="24"/>
        </w:rPr>
        <w:t xml:space="preserve"> in</w:t>
      </w:r>
      <w:r w:rsidRPr="00810BB2">
        <w:rPr>
          <w:rFonts w:cs="PLJDNN+TimesNewRoman"/>
          <w:color w:val="000000"/>
          <w:szCs w:val="24"/>
        </w:rPr>
        <w:t xml:space="preserve"> Rads of loss, not the rate of beam loss</w:t>
      </w:r>
      <w:r w:rsidR="001F1AFB">
        <w:rPr>
          <w:rFonts w:cs="PLJDNN+TimesNewRoman"/>
          <w:color w:val="000000"/>
          <w:szCs w:val="24"/>
        </w:rPr>
        <w:t xml:space="preserve"> in</w:t>
      </w:r>
      <w:r w:rsidRPr="00810BB2">
        <w:rPr>
          <w:rFonts w:cs="PLJDNN+TimesNewRoman"/>
          <w:color w:val="000000"/>
          <w:szCs w:val="24"/>
        </w:rPr>
        <w:t xml:space="preserve"> Rads/Second.  However, when the BLM integrator modules from the Tevatron were incorporated into the Booster</w:t>
      </w:r>
      <w:r w:rsidR="00810BB2" w:rsidRPr="00810BB2">
        <w:rPr>
          <w:rFonts w:cs="PLJDNN+TimesNewRoman"/>
          <w:color w:val="000000"/>
          <w:szCs w:val="24"/>
        </w:rPr>
        <w:t xml:space="preserve"> the units of Rads/Second came along with them.  For 30 years the BLM measurements</w:t>
      </w:r>
      <w:r w:rsidR="00810BB2">
        <w:rPr>
          <w:rFonts w:cs="PLJDNN+TimesNewRoman"/>
          <w:color w:val="000000"/>
          <w:szCs w:val="24"/>
        </w:rPr>
        <w:t xml:space="preserve"> provided an essential number used in tuning the accelerator to reduce beam loss and improve efficiency of the machine.  The actual units on the numbers were not of much concern.</w:t>
      </w:r>
    </w:p>
    <w:p w:rsidR="00ED029A" w:rsidRDefault="00810BB2" w:rsidP="00C914FC">
      <w:pPr>
        <w:rPr>
          <w:rFonts w:cs="PLJDNN+TimesNewRoman"/>
          <w:color w:val="000000"/>
          <w:szCs w:val="24"/>
        </w:rPr>
      </w:pPr>
      <w:r>
        <w:rPr>
          <w:rFonts w:cs="PLJDNN+TimesNewRoman"/>
          <w:color w:val="000000"/>
          <w:szCs w:val="24"/>
        </w:rPr>
        <w:t xml:space="preserve">You will see that the new BLM integrators measure charge, not so much a rate of charge.  Also, other types </w:t>
      </w:r>
      <w:r w:rsidRPr="00DF3F08">
        <w:rPr>
          <w:rFonts w:cs="PLJDNN+TimesNewRoman"/>
          <w:color w:val="000000"/>
          <w:szCs w:val="24"/>
        </w:rPr>
        <w:t>of sums, currently in use and described below,</w:t>
      </w:r>
      <w:r>
        <w:rPr>
          <w:rFonts w:cs="PLJDNN+TimesNewRoman"/>
          <w:color w:val="000000"/>
          <w:szCs w:val="24"/>
        </w:rPr>
        <w:t xml:space="preserve"> </w:t>
      </w:r>
      <w:r w:rsidR="00DF3F08">
        <w:rPr>
          <w:rFonts w:cs="PLJDNN+TimesNewRoman"/>
          <w:color w:val="000000"/>
          <w:szCs w:val="24"/>
        </w:rPr>
        <w:t>are meant to represent an accumulation of loss in Rads, not an ever increasing rate of loss in Rads/Second.</w:t>
      </w:r>
      <w:r w:rsidR="0054485E">
        <w:rPr>
          <w:rFonts w:cs="PLJDNN+TimesNewRoman"/>
          <w:color w:val="000000"/>
          <w:szCs w:val="24"/>
        </w:rPr>
        <w:t xml:space="preserve">  However, documentation for the front-end Local Applications states that the other sums were derived from numbers scaled to Rads/Second.</w:t>
      </w:r>
    </w:p>
    <w:p w:rsidR="00082B59" w:rsidRDefault="009A3139">
      <w:pPr>
        <w:rPr>
          <w:rFonts w:cs="PLJDNN+TimesNewRoman"/>
          <w:color w:val="000000"/>
          <w:szCs w:val="24"/>
        </w:rPr>
      </w:pPr>
      <w:r>
        <w:rPr>
          <w:rFonts w:cs="PLJDNN+TimesNewRoman"/>
          <w:color w:val="000000"/>
          <w:szCs w:val="24"/>
        </w:rPr>
        <w:t>After much deliberation and examination of the variance in the existing system</w:t>
      </w:r>
      <w:r w:rsidR="00F24899">
        <w:rPr>
          <w:rFonts w:cs="PLJDNN+TimesNewRoman"/>
          <w:color w:val="000000"/>
          <w:szCs w:val="24"/>
        </w:rPr>
        <w:t>’</w:t>
      </w:r>
      <w:r>
        <w:rPr>
          <w:rFonts w:cs="PLJDNN+TimesNewRoman"/>
          <w:color w:val="000000"/>
          <w:szCs w:val="24"/>
        </w:rPr>
        <w:t>s actual calibration it was decided to abandon the scaling in Rads/Second and scale the BLM results in Rads.  The loss monitor ion chambers have a consistent scaling of 70 nano-Coulombs of charge per Rad of energy impinging on it.  Also the new linear integrators have a very well defined calibration.</w:t>
      </w:r>
      <w:r w:rsidDel="009A3139">
        <w:rPr>
          <w:rFonts w:cs="PLJDNN+TimesNewRoman"/>
          <w:color w:val="000000"/>
          <w:szCs w:val="24"/>
        </w:rPr>
        <w:t xml:space="preserve"> </w:t>
      </w:r>
    </w:p>
    <w:p w:rsidR="00082B59" w:rsidRDefault="00303384">
      <w:pPr>
        <w:pStyle w:val="Heading1"/>
      </w:pPr>
      <w:bookmarkStart w:id="2" w:name="_Toc345660735"/>
      <w:r w:rsidRPr="00303384">
        <w:t>BLM Digitizer Module Data Acquisition</w:t>
      </w:r>
      <w:bookmarkEnd w:id="2"/>
    </w:p>
    <w:p w:rsidR="00303384" w:rsidRPr="00303384" w:rsidRDefault="00303384" w:rsidP="00303384">
      <w:r w:rsidRPr="00303384">
        <w:t xml:space="preserve">Integration and digitization of the loss monitor signals </w:t>
      </w:r>
      <w:r w:rsidR="00DF3F08">
        <w:t>are</w:t>
      </w:r>
      <w:r w:rsidRPr="00303384">
        <w:t xml:space="preserve"> performed by the BLM Digitizer Module.  The data representing the digitized signal is buffered on the BLM Digitizer Module </w:t>
      </w:r>
      <w:r w:rsidR="00924D0D">
        <w:t>u</w:t>
      </w:r>
      <w:r w:rsidR="009F1290">
        <w:t>s</w:t>
      </w:r>
      <w:r w:rsidRPr="00303384">
        <w:t xml:space="preserve">ing FIFO memory.  The output of this memory is accessible </w:t>
      </w:r>
      <w:r w:rsidR="00611CD6">
        <w:t>by</w:t>
      </w:r>
      <w:r w:rsidRPr="00303384">
        <w:t xml:space="preserve"> the crate processor via the VME b</w:t>
      </w:r>
      <w:r w:rsidR="00924D0D">
        <w:t>u</w:t>
      </w:r>
      <w:r w:rsidR="009F1290">
        <w:t>s</w:t>
      </w:r>
      <w:r w:rsidRPr="00303384">
        <w:t>.</w:t>
      </w:r>
    </w:p>
    <w:p w:rsidR="00303384" w:rsidRDefault="00303384" w:rsidP="00303384">
      <w:r w:rsidRPr="00303384">
        <w:t>The module performs the following functions.</w:t>
      </w:r>
    </w:p>
    <w:p w:rsidR="00303384" w:rsidRDefault="00303384" w:rsidP="00AA7BAC">
      <w:pPr>
        <w:pStyle w:val="ListParagraph"/>
        <w:numPr>
          <w:ilvl w:val="0"/>
          <w:numId w:val="16"/>
        </w:numPr>
      </w:pPr>
      <w:r w:rsidRPr="00303384">
        <w:t>Digitizes the results of a</w:t>
      </w:r>
      <w:r w:rsidR="00AD3A9E">
        <w:t>n analog</w:t>
      </w:r>
      <w:r w:rsidRPr="00303384">
        <w:t xml:space="preserve"> 20.0 </w:t>
      </w:r>
      <w:r w:rsidR="009F1290">
        <w:t>μs</w:t>
      </w:r>
      <w:r w:rsidRPr="00303384">
        <w:t xml:space="preserve"> </w:t>
      </w:r>
      <w:r w:rsidR="00AD3A9E">
        <w:t xml:space="preserve">BLM </w:t>
      </w:r>
      <w:r w:rsidR="00924D0D">
        <w:t xml:space="preserve">charge </w:t>
      </w:r>
      <w:r w:rsidRPr="00303384">
        <w:t>integration into a 16 Bit Word.</w:t>
      </w:r>
      <w:r w:rsidR="004524C4">
        <w:t xml:space="preserve"> </w:t>
      </w:r>
    </w:p>
    <w:p w:rsidR="00303384" w:rsidRPr="00303384" w:rsidRDefault="00216C6C" w:rsidP="00303384">
      <w:pPr>
        <w:ind w:left="720" w:hanging="360"/>
      </w:pPr>
      <w:r w:rsidRPr="0063258B">
        <w:t>2</w:t>
      </w:r>
      <w:r w:rsidR="00303384" w:rsidRPr="0063258B">
        <w:t>.</w:t>
      </w:r>
      <w:r w:rsidR="00303384" w:rsidRPr="0063258B">
        <w:tab/>
        <w:t>Every 80.</w:t>
      </w:r>
      <w:r w:rsidR="00611CD6" w:rsidRPr="0063258B">
        <w:t>0</w:t>
      </w:r>
      <w:r w:rsidR="00303384" w:rsidRPr="0063258B">
        <w:t xml:space="preserve"> </w:t>
      </w:r>
      <w:r w:rsidR="009F1290" w:rsidRPr="0063258B">
        <w:t>μs</w:t>
      </w:r>
      <w:r w:rsidR="00303384" w:rsidRPr="0063258B">
        <w:t xml:space="preserve"> an average of 4 each 20.0 </w:t>
      </w:r>
      <w:r w:rsidR="009F1290" w:rsidRPr="0063258B">
        <w:t>μs</w:t>
      </w:r>
      <w:r w:rsidR="00303384" w:rsidRPr="0063258B">
        <w:t xml:space="preserve"> integrations </w:t>
      </w:r>
      <w:r w:rsidR="009F1290" w:rsidRPr="0063258B">
        <w:t>produce</w:t>
      </w:r>
      <w:r w:rsidR="00303384" w:rsidRPr="0063258B">
        <w:t xml:space="preserve"> a 16 Bit Word</w:t>
      </w:r>
      <w:r w:rsidR="00AD3A9E" w:rsidRPr="0063258B">
        <w:t xml:space="preserve"> that is</w:t>
      </w:r>
      <w:r w:rsidR="00AD3A9E">
        <w:t xml:space="preserve"> written to a FIFO memory</w:t>
      </w:r>
      <w:r w:rsidR="00303384" w:rsidRPr="00303384">
        <w:t>.</w:t>
      </w:r>
    </w:p>
    <w:p w:rsidR="00303384" w:rsidRPr="00303384" w:rsidRDefault="00303384" w:rsidP="00303384">
      <w:pPr>
        <w:ind w:left="720"/>
      </w:pPr>
      <w:r w:rsidRPr="00303384">
        <w:t>Note that this is not strictly an 80.</w:t>
      </w:r>
      <w:r w:rsidR="00611CD6">
        <w:t>0</w:t>
      </w:r>
      <w:r w:rsidRPr="00303384">
        <w:t xml:space="preserve"> </w:t>
      </w:r>
      <w:r w:rsidR="009F1290">
        <w:t>μs</w:t>
      </w:r>
      <w:r w:rsidRPr="00303384">
        <w:t xml:space="preserve"> integrated value, but </w:t>
      </w:r>
      <w:r w:rsidR="00611CD6">
        <w:t>rather</w:t>
      </w:r>
      <w:r w:rsidRPr="00303384">
        <w:t xml:space="preserve"> an 80.</w:t>
      </w:r>
      <w:r w:rsidR="00611CD6">
        <w:t>0</w:t>
      </w:r>
      <w:r w:rsidRPr="00303384">
        <w:t xml:space="preserve"> </w:t>
      </w:r>
      <w:r w:rsidR="009F1290">
        <w:t>μs</w:t>
      </w:r>
      <w:r w:rsidRPr="00303384">
        <w:t xml:space="preserve"> integrated value divided by 4.</w:t>
      </w:r>
    </w:p>
    <w:p w:rsidR="00303384" w:rsidRDefault="00AD3A9E" w:rsidP="0063258B">
      <w:pPr>
        <w:pStyle w:val="ListParagraph"/>
        <w:numPr>
          <w:ilvl w:val="0"/>
          <w:numId w:val="18"/>
        </w:numPr>
      </w:pPr>
      <w:r w:rsidRPr="00303384">
        <w:t>40.</w:t>
      </w:r>
      <w:r w:rsidR="00611CD6">
        <w:t>0</w:t>
      </w:r>
      <w:r w:rsidRPr="00303384">
        <w:t xml:space="preserve"> ms </w:t>
      </w:r>
      <w:r>
        <w:t>of d</w:t>
      </w:r>
      <w:r w:rsidR="00303384" w:rsidRPr="00303384">
        <w:t>ata is collected</w:t>
      </w:r>
      <w:r>
        <w:t xml:space="preserve"> at a rate of 12.</w:t>
      </w:r>
      <w:r w:rsidR="00611CD6">
        <w:t>5</w:t>
      </w:r>
      <w:r>
        <w:t xml:space="preserve"> kHz</w:t>
      </w:r>
      <w:r w:rsidR="00303384" w:rsidRPr="00303384">
        <w:t xml:space="preserve"> for </w:t>
      </w:r>
      <w:r>
        <w:t xml:space="preserve">each </w:t>
      </w:r>
      <w:r w:rsidR="00303384" w:rsidRPr="00303384">
        <w:t>Booster cycle, resulting in 500 samples per cycle.</w:t>
      </w:r>
    </w:p>
    <w:p w:rsidR="00F84C1D" w:rsidRPr="00303384" w:rsidRDefault="00F84C1D" w:rsidP="0063258B">
      <w:pPr>
        <w:pStyle w:val="ListParagraph"/>
        <w:numPr>
          <w:ilvl w:val="0"/>
          <w:numId w:val="18"/>
        </w:numPr>
      </w:pPr>
      <w:r>
        <w:t>The number of BLM channels in a particular location around the Booster Gallery is 12.  However in a couple locations, there are as many as 24.</w:t>
      </w:r>
    </w:p>
    <w:p w:rsidR="00303384" w:rsidRPr="00303384" w:rsidRDefault="00AD3A9E" w:rsidP="0063258B">
      <w:pPr>
        <w:pStyle w:val="ListParagraph"/>
        <w:numPr>
          <w:ilvl w:val="0"/>
          <w:numId w:val="18"/>
        </w:numPr>
      </w:pPr>
      <w:r>
        <w:t>A</w:t>
      </w:r>
      <w:r w:rsidR="00303384" w:rsidRPr="00303384">
        <w:t xml:space="preserve"> conservative estimate for transferring one 16 Bit Word over VME is 1.0 </w:t>
      </w:r>
      <w:r w:rsidR="009F1290">
        <w:t>μs</w:t>
      </w:r>
      <w:r w:rsidR="00303384" w:rsidRPr="00303384">
        <w:t xml:space="preserve">.  This leads to a total time of 12 ms to transfer one cycle of data for 24 </w:t>
      </w:r>
      <w:r>
        <w:t xml:space="preserve">BLM channels, </w:t>
      </w:r>
      <w:r w:rsidR="00303384" w:rsidRPr="00303384">
        <w:t>from the Digitizer modules to the MVME processor board.</w:t>
      </w:r>
    </w:p>
    <w:p w:rsidR="00303384" w:rsidRDefault="00303384" w:rsidP="00303384">
      <w:pPr>
        <w:ind w:left="720" w:hanging="360"/>
      </w:pPr>
      <w:r w:rsidRPr="00303384">
        <w:lastRenderedPageBreak/>
        <w:t xml:space="preserve">(500 samples / channel)*(1 accesses / sample)*(24 channels)*(1.0 </w:t>
      </w:r>
      <w:r w:rsidR="009F1290">
        <w:t>μs</w:t>
      </w:r>
      <w:r w:rsidRPr="00303384">
        <w:t xml:space="preserve"> / access) = 12 ms</w:t>
      </w:r>
    </w:p>
    <w:p w:rsidR="00303384" w:rsidRDefault="00303384" w:rsidP="00303384"/>
    <w:p w:rsidR="00303384" w:rsidRDefault="00303384" w:rsidP="00303384">
      <w:r w:rsidRPr="00303384">
        <w:rPr>
          <w:noProof/>
        </w:rPr>
        <w:drawing>
          <wp:inline distT="0" distB="0" distL="0" distR="0">
            <wp:extent cx="5481320" cy="43815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1320" cy="4377690"/>
                    </a:xfrm>
                    <a:prstGeom prst="rect">
                      <a:avLst/>
                    </a:prstGeom>
                    <a:solidFill>
                      <a:srgbClr val="FFFFFF"/>
                    </a:solidFill>
                    <a:ln w="9525">
                      <a:noFill/>
                      <a:miter lim="800000"/>
                      <a:headEnd/>
                      <a:tailEnd/>
                    </a:ln>
                  </pic:spPr>
                </pic:pic>
              </a:graphicData>
            </a:graphic>
          </wp:inline>
        </w:drawing>
      </w:r>
    </w:p>
    <w:p w:rsidR="00AD3A9E" w:rsidRDefault="00AD3A9E" w:rsidP="00303384">
      <w:r>
        <w:t>Figure II.1</w:t>
      </w:r>
      <w:r w:rsidR="000F74BB">
        <w:t>.1</w:t>
      </w:r>
      <w:r>
        <w:t xml:space="preserve"> Simplified block diagram of the BLM digitizer data processing</w:t>
      </w:r>
    </w:p>
    <w:p w:rsidR="00873C8D" w:rsidRDefault="00873C8D" w:rsidP="00873C8D">
      <w:pPr>
        <w:pStyle w:val="Heading1"/>
      </w:pPr>
      <w:bookmarkStart w:id="3" w:name="_Toc345660736"/>
      <w:r>
        <w:t>Summary of the BLM DAQ Process</w:t>
      </w:r>
      <w:bookmarkEnd w:id="3"/>
    </w:p>
    <w:p w:rsidR="00873C8D" w:rsidRDefault="00873C8D" w:rsidP="00873C8D">
      <w:pPr>
        <w:pStyle w:val="TableContents"/>
        <w:spacing w:after="86"/>
      </w:pPr>
      <w:r>
        <w:t>The following is a sketch of the BLM data acquisition process.</w:t>
      </w:r>
      <w:r w:rsidR="00BC5159">
        <w:t xml:space="preserve">  The computation of the various types of sums is explained in more detail in the following sections.</w:t>
      </w:r>
    </w:p>
    <w:p w:rsidR="00BC5159" w:rsidRDefault="00BC5159" w:rsidP="00873C8D">
      <w:pPr>
        <w:pStyle w:val="TableContents"/>
        <w:spacing w:after="86"/>
      </w:pPr>
    </w:p>
    <w:p w:rsidR="00873C8D" w:rsidRPr="00D435B7" w:rsidRDefault="00873C8D" w:rsidP="00873C8D">
      <w:pPr>
        <w:spacing w:after="86"/>
        <w:rPr>
          <w:rStyle w:val="IntenseEmphasis"/>
        </w:rPr>
      </w:pPr>
      <w:r w:rsidRPr="00D435B7">
        <w:rPr>
          <w:rStyle w:val="IntenseEmphasis"/>
        </w:rPr>
        <w:t xml:space="preserve">Steps in the Process:  </w:t>
      </w:r>
    </w:p>
    <w:p w:rsidR="00873C8D" w:rsidRDefault="00873C8D" w:rsidP="00873C8D">
      <w:pPr>
        <w:numPr>
          <w:ilvl w:val="0"/>
          <w:numId w:val="14"/>
        </w:numPr>
        <w:tabs>
          <w:tab w:val="left" w:pos="720"/>
        </w:tabs>
        <w:suppressAutoHyphens/>
        <w:spacing w:after="173" w:line="240" w:lineRule="auto"/>
      </w:pPr>
      <w:r>
        <w:t>Signal digitization and collection is triggered every 15 Hz cycle on event $10.</w:t>
      </w:r>
    </w:p>
    <w:p w:rsidR="00873C8D" w:rsidRDefault="00873C8D" w:rsidP="00873C8D">
      <w:pPr>
        <w:numPr>
          <w:ilvl w:val="0"/>
          <w:numId w:val="14"/>
        </w:numPr>
        <w:tabs>
          <w:tab w:val="left" w:pos="720"/>
        </w:tabs>
        <w:suppressAutoHyphens/>
        <w:spacing w:after="173" w:line="240" w:lineRule="auto"/>
      </w:pPr>
      <w:r>
        <w:t>The BLM signals are digitized at a rate of 12.</w:t>
      </w:r>
      <w:r w:rsidR="004C618C">
        <w:t xml:space="preserve"> </w:t>
      </w:r>
      <w:r>
        <w:t>5 kHz.  Each sample represents an 80.</w:t>
      </w:r>
      <w:r w:rsidR="004C618C">
        <w:t>0</w:t>
      </w:r>
      <w:r>
        <w:t xml:space="preserve"> μs integration interval.  </w:t>
      </w:r>
    </w:p>
    <w:p w:rsidR="00873C8D" w:rsidRDefault="00873C8D" w:rsidP="00873C8D">
      <w:pPr>
        <w:numPr>
          <w:ilvl w:val="0"/>
          <w:numId w:val="14"/>
        </w:numPr>
        <w:tabs>
          <w:tab w:val="left" w:pos="720"/>
        </w:tabs>
        <w:suppressAutoHyphens/>
        <w:spacing w:after="173" w:line="240" w:lineRule="auto"/>
      </w:pPr>
      <w:r>
        <w:t>After being triggered by event $1</w:t>
      </w:r>
      <w:r w:rsidR="00BC5159">
        <w:t>0</w:t>
      </w:r>
      <w:r>
        <w:t>, the BLM signals are integrated and digitized for 40.</w:t>
      </w:r>
      <w:r w:rsidR="004C618C">
        <w:t>0</w:t>
      </w:r>
      <w:r>
        <w:t xml:space="preserve"> ms, producing a FIFO buffer of 500 data points for each device.</w:t>
      </w:r>
    </w:p>
    <w:p w:rsidR="00873C8D" w:rsidRDefault="00873C8D" w:rsidP="00873C8D">
      <w:pPr>
        <w:numPr>
          <w:ilvl w:val="0"/>
          <w:numId w:val="14"/>
        </w:numPr>
        <w:tabs>
          <w:tab w:val="left" w:pos="720"/>
        </w:tabs>
        <w:suppressAutoHyphens/>
        <w:spacing w:after="173" w:line="240" w:lineRule="auto"/>
      </w:pPr>
      <w:r>
        <w:t>The front end processor begins collecting data from the BLM Digitizer modules over the VME bus approximately 40 ms after event $1</w:t>
      </w:r>
      <w:r w:rsidR="00BC5159">
        <w:t>0</w:t>
      </w:r>
      <w:r>
        <w:t>.</w:t>
      </w:r>
    </w:p>
    <w:p w:rsidR="00873C8D" w:rsidRDefault="00873C8D" w:rsidP="00873C8D">
      <w:pPr>
        <w:numPr>
          <w:ilvl w:val="0"/>
          <w:numId w:val="14"/>
        </w:numPr>
        <w:tabs>
          <w:tab w:val="left" w:pos="720"/>
        </w:tabs>
        <w:suppressAutoHyphens/>
        <w:spacing w:after="173" w:line="240" w:lineRule="auto"/>
      </w:pPr>
      <w:r>
        <w:lastRenderedPageBreak/>
        <w:t xml:space="preserve">It is expected that the front end processor will have collected the data from </w:t>
      </w:r>
      <w:r w:rsidR="00F84C1D">
        <w:t xml:space="preserve">as many as </w:t>
      </w:r>
      <w:r>
        <w:t>24 BLM channels by 52 ms after event $1</w:t>
      </w:r>
      <w:r w:rsidR="00BC5159">
        <w:t>0</w:t>
      </w:r>
      <w:r>
        <w:t>.</w:t>
      </w:r>
    </w:p>
    <w:p w:rsidR="00873C8D" w:rsidRDefault="00873C8D" w:rsidP="00873C8D">
      <w:pPr>
        <w:numPr>
          <w:ilvl w:val="0"/>
          <w:numId w:val="14"/>
        </w:numPr>
        <w:tabs>
          <w:tab w:val="left" w:pos="720"/>
        </w:tabs>
        <w:suppressAutoHyphens/>
        <w:spacing w:after="173" w:line="240" w:lineRule="auto"/>
      </w:pPr>
      <w:r>
        <w:t xml:space="preserve">At this point in the 15 Hz cycle, 500 point buffers will have been filled with the BLM data for the </w:t>
      </w:r>
      <w:r>
        <w:rPr>
          <w:i/>
          <w:iCs/>
        </w:rPr>
        <w:t>current</w:t>
      </w:r>
      <w:r>
        <w:t xml:space="preserve"> cycle.</w:t>
      </w:r>
      <w:r w:rsidR="00F45FFA">
        <w:t xml:space="preserve">  One for each BLM channel in the crate.</w:t>
      </w:r>
      <w:r>
        <w:t xml:space="preserve">  This is the base “80 μs Integrated Data”.</w:t>
      </w:r>
    </w:p>
    <w:p w:rsidR="001F1AFB" w:rsidRDefault="001F1AFB" w:rsidP="00873C8D">
      <w:pPr>
        <w:numPr>
          <w:ilvl w:val="0"/>
          <w:numId w:val="14"/>
        </w:numPr>
        <w:tabs>
          <w:tab w:val="left" w:pos="720"/>
        </w:tabs>
        <w:suppressAutoHyphens/>
        <w:spacing w:after="173" w:line="240" w:lineRule="auto"/>
      </w:pPr>
      <w:r>
        <w:t>A pedestal</w:t>
      </w:r>
      <w:r w:rsidR="00A6003D">
        <w:t xml:space="preserve"> for each channel</w:t>
      </w:r>
      <w:r>
        <w:t xml:space="preserve"> is computed using the first 16 </w:t>
      </w:r>
      <w:r w:rsidR="00A6003D">
        <w:t>data points from that channel.</w:t>
      </w:r>
    </w:p>
    <w:p w:rsidR="00F45FFA" w:rsidRDefault="00873C8D" w:rsidP="00873C8D">
      <w:pPr>
        <w:numPr>
          <w:ilvl w:val="0"/>
          <w:numId w:val="14"/>
        </w:numPr>
        <w:tabs>
          <w:tab w:val="left" w:pos="720"/>
        </w:tabs>
        <w:suppressAutoHyphens/>
        <w:spacing w:after="173" w:line="240" w:lineRule="auto"/>
      </w:pPr>
      <w:r>
        <w:t xml:space="preserve">From the buffers of 80 μs Integrated Data the “Full Cycle Sampled Accumulation” data </w:t>
      </w:r>
      <w:r w:rsidR="00F45FFA">
        <w:t xml:space="preserve">buffers </w:t>
      </w:r>
      <w:r>
        <w:t>are computed</w:t>
      </w:r>
      <w:r w:rsidR="00A6003D">
        <w:t xml:space="preserve"> with the pedestal subtraction applied</w:t>
      </w:r>
      <w:r>
        <w:t>.</w:t>
      </w:r>
      <w:r w:rsidR="004C618C">
        <w:t xml:space="preserve">  </w:t>
      </w:r>
    </w:p>
    <w:p w:rsidR="0094542B" w:rsidRDefault="00F45FFA" w:rsidP="00873C8D">
      <w:pPr>
        <w:numPr>
          <w:ilvl w:val="0"/>
          <w:numId w:val="14"/>
        </w:numPr>
        <w:tabs>
          <w:tab w:val="left" w:pos="720"/>
        </w:tabs>
        <w:suppressAutoHyphens/>
        <w:spacing w:after="173" w:line="240" w:lineRule="auto"/>
      </w:pPr>
      <w:r>
        <w:t xml:space="preserve">The </w:t>
      </w:r>
      <w:r w:rsidR="00A6003D">
        <w:t>Full Cycle Sampled Accumulation data</w:t>
      </w:r>
      <w:r>
        <w:t xml:space="preserve"> is </w:t>
      </w:r>
      <w:r w:rsidR="005279B5">
        <w:t>scaled</w:t>
      </w:r>
      <w:r w:rsidR="00A6003D">
        <w:t xml:space="preserve"> into Rads</w:t>
      </w:r>
      <w:r w:rsidR="005279B5">
        <w:t xml:space="preserve"> (x</w:t>
      </w:r>
      <w:r w:rsidR="003230F7">
        <w:t>4</w:t>
      </w:r>
      <w:r w:rsidR="005279B5">
        <w:t>000)</w:t>
      </w:r>
      <w:r w:rsidR="00A6003D">
        <w:t xml:space="preserve">.  </w:t>
      </w:r>
      <w:r w:rsidR="005279B5">
        <w:t xml:space="preserve">By scaling up by </w:t>
      </w:r>
      <w:r w:rsidR="003230F7">
        <w:t>4</w:t>
      </w:r>
      <w:r w:rsidR="005279B5">
        <w:t>000 we convert milli-Rads into integer values</w:t>
      </w:r>
      <w:r>
        <w:t>.</w:t>
      </w:r>
      <w:r w:rsidR="005279B5">
        <w:t xml:space="preserve">  Once in ACNET the values are divided by </w:t>
      </w:r>
      <w:r w:rsidR="003230F7">
        <w:t>4</w:t>
      </w:r>
      <w:r w:rsidR="005279B5">
        <w:t>000 to provide floating point values in the proper units.</w:t>
      </w:r>
      <w:r w:rsidR="00A6003D">
        <w:t xml:space="preserve">  </w:t>
      </w:r>
    </w:p>
    <w:p w:rsidR="00873C8D" w:rsidRDefault="00A6003D" w:rsidP="00873C8D">
      <w:pPr>
        <w:numPr>
          <w:ilvl w:val="0"/>
          <w:numId w:val="14"/>
        </w:numPr>
        <w:tabs>
          <w:tab w:val="left" w:pos="720"/>
        </w:tabs>
        <w:suppressAutoHyphens/>
        <w:spacing w:after="173" w:line="240" w:lineRule="auto"/>
        <w:rPr>
          <w:rFonts w:cs="Arial"/>
        </w:rPr>
      </w:pPr>
      <w:r>
        <w:t>The</w:t>
      </w:r>
      <w:r w:rsidR="00873C8D">
        <w:t xml:space="preserve"> “</w:t>
      </w:r>
      <w:r w:rsidR="00873C8D">
        <w:rPr>
          <w:rFonts w:cs="Arial"/>
        </w:rPr>
        <w:t>1 ms Integration Samples” buffers are computed</w:t>
      </w:r>
      <w:r w:rsidR="00F60BC1">
        <w:rPr>
          <w:rFonts w:cs="Arial"/>
        </w:rPr>
        <w:t xml:space="preserve"> by </w:t>
      </w:r>
      <w:r w:rsidR="005279B5">
        <w:rPr>
          <w:rFonts w:cs="Arial"/>
        </w:rPr>
        <w:t>taking</w:t>
      </w:r>
      <w:r w:rsidR="00F60BC1">
        <w:rPr>
          <w:rFonts w:cs="Arial"/>
        </w:rPr>
        <w:t xml:space="preserve"> every 12</w:t>
      </w:r>
      <w:r w:rsidR="00F60BC1" w:rsidRPr="00F60BC1">
        <w:rPr>
          <w:rFonts w:cs="Arial"/>
          <w:vertAlign w:val="superscript"/>
        </w:rPr>
        <w:t>th</w:t>
      </w:r>
      <w:r w:rsidR="00F60BC1">
        <w:rPr>
          <w:rFonts w:cs="Arial"/>
        </w:rPr>
        <w:t xml:space="preserve"> (actually every 12.5</w:t>
      </w:r>
      <w:r w:rsidR="00F60BC1" w:rsidRPr="00F60BC1">
        <w:rPr>
          <w:rFonts w:cs="Arial"/>
          <w:vertAlign w:val="superscript"/>
        </w:rPr>
        <w:t>th</w:t>
      </w:r>
      <w:r w:rsidR="00F60BC1">
        <w:rPr>
          <w:rFonts w:cs="Arial"/>
        </w:rPr>
        <w:t xml:space="preserve">) </w:t>
      </w:r>
      <w:r w:rsidR="00F60BC1">
        <w:t>Full Cycle Sampled Accumulation point, and then differentially determining the loss in each of the 40, 1 ms intervals</w:t>
      </w:r>
      <w:r w:rsidR="00873C8D">
        <w:rPr>
          <w:rFonts w:cs="Arial"/>
        </w:rPr>
        <w:t>.</w:t>
      </w:r>
      <w:r>
        <w:rPr>
          <w:rFonts w:cs="Arial"/>
        </w:rPr>
        <w:t xml:space="preserve"> </w:t>
      </w:r>
    </w:p>
    <w:p w:rsidR="00B949EA" w:rsidRDefault="00B949EA" w:rsidP="00873C8D">
      <w:pPr>
        <w:numPr>
          <w:ilvl w:val="0"/>
          <w:numId w:val="14"/>
        </w:numPr>
        <w:tabs>
          <w:tab w:val="left" w:pos="720"/>
        </w:tabs>
        <w:suppressAutoHyphens/>
        <w:spacing w:after="173" w:line="240" w:lineRule="auto"/>
        <w:rPr>
          <w:rFonts w:cs="Arial"/>
        </w:rPr>
      </w:pPr>
      <w:r>
        <w:rPr>
          <w:rFonts w:cs="Arial"/>
        </w:rPr>
        <w:t xml:space="preserve">Each cycle, for each channel, a total loss value is computed from the </w:t>
      </w:r>
      <w:r>
        <w:t>Full Cycle Samp</w:t>
      </w:r>
      <w:r w:rsidR="007B776E">
        <w:t>led Accumulation data by subtracting an initial point from a final point.</w:t>
      </w:r>
    </w:p>
    <w:p w:rsidR="007B776E" w:rsidRDefault="00873C8D" w:rsidP="00873C8D">
      <w:pPr>
        <w:numPr>
          <w:ilvl w:val="0"/>
          <w:numId w:val="14"/>
        </w:numPr>
        <w:tabs>
          <w:tab w:val="left" w:pos="720"/>
        </w:tabs>
        <w:suppressAutoHyphens/>
        <w:spacing w:after="173" w:line="240" w:lineRule="auto"/>
        <w:rPr>
          <w:rFonts w:cs="Arial"/>
        </w:rPr>
      </w:pPr>
      <w:r>
        <w:rPr>
          <w:rFonts w:cs="Arial"/>
        </w:rPr>
        <w:t xml:space="preserve">Using values </w:t>
      </w:r>
      <w:r w:rsidR="00A6003D">
        <w:rPr>
          <w:rFonts w:cs="Arial"/>
        </w:rPr>
        <w:t>from</w:t>
      </w:r>
      <w:r>
        <w:rPr>
          <w:rFonts w:cs="Arial"/>
        </w:rPr>
        <w:t xml:space="preserve"> the </w:t>
      </w:r>
      <w:r w:rsidR="007B776E">
        <w:rPr>
          <w:rFonts w:cs="Arial"/>
        </w:rPr>
        <w:t xml:space="preserve">total loss per cycle </w:t>
      </w:r>
      <w:r w:rsidR="007B776E">
        <w:t>value,</w:t>
      </w:r>
      <w:r w:rsidR="00F45FFA">
        <w:rPr>
          <w:rFonts w:cs="Arial"/>
        </w:rPr>
        <w:t xml:space="preserve"> </w:t>
      </w:r>
      <w:r>
        <w:rPr>
          <w:rFonts w:cs="Arial"/>
        </w:rPr>
        <w:t xml:space="preserve">the 17 second sums are </w:t>
      </w:r>
      <w:r w:rsidR="007B776E">
        <w:rPr>
          <w:rFonts w:cs="Arial"/>
        </w:rPr>
        <w:t>accumulated</w:t>
      </w:r>
      <w:r w:rsidR="005279B5">
        <w:rPr>
          <w:rFonts w:cs="Arial"/>
        </w:rPr>
        <w:t>.</w:t>
      </w:r>
    </w:p>
    <w:p w:rsidR="00873C8D" w:rsidRDefault="007B776E" w:rsidP="00873C8D">
      <w:pPr>
        <w:numPr>
          <w:ilvl w:val="0"/>
          <w:numId w:val="14"/>
        </w:numPr>
        <w:tabs>
          <w:tab w:val="left" w:pos="720"/>
        </w:tabs>
        <w:suppressAutoHyphens/>
        <w:spacing w:after="173" w:line="240" w:lineRule="auto"/>
        <w:rPr>
          <w:rFonts w:cs="Arial"/>
        </w:rPr>
      </w:pPr>
      <w:r>
        <w:rPr>
          <w:rFonts w:cs="Arial"/>
        </w:rPr>
        <w:t>E</w:t>
      </w:r>
      <w:r w:rsidR="00873C8D">
        <w:rPr>
          <w:rFonts w:cs="Arial"/>
        </w:rPr>
        <w:t>very 250</w:t>
      </w:r>
      <w:r w:rsidR="00873C8D">
        <w:rPr>
          <w:rFonts w:cs="Arial"/>
          <w:vertAlign w:val="superscript"/>
        </w:rPr>
        <w:t>th</w:t>
      </w:r>
      <w:r w:rsidR="00873C8D">
        <w:rPr>
          <w:rFonts w:cs="Arial"/>
        </w:rPr>
        <w:t xml:space="preserve"> 15 Hz cycle the “100 Second Moving Sums” are updated</w:t>
      </w:r>
      <w:r>
        <w:rPr>
          <w:rFonts w:cs="Arial"/>
        </w:rPr>
        <w:t xml:space="preserve"> by summing the most recent 6, 17 second sums</w:t>
      </w:r>
      <w:r w:rsidR="00873C8D">
        <w:rPr>
          <w:rFonts w:cs="Arial"/>
        </w:rPr>
        <w:t>.</w:t>
      </w:r>
    </w:p>
    <w:p w:rsidR="00873C8D" w:rsidRDefault="00873C8D" w:rsidP="00873C8D">
      <w:pPr>
        <w:numPr>
          <w:ilvl w:val="0"/>
          <w:numId w:val="14"/>
        </w:numPr>
        <w:tabs>
          <w:tab w:val="left" w:pos="720"/>
        </w:tabs>
        <w:suppressAutoHyphens/>
        <w:spacing w:after="173" w:line="240" w:lineRule="auto"/>
        <w:rPr>
          <w:rFonts w:cs="Arial"/>
        </w:rPr>
      </w:pPr>
      <w:r>
        <w:rPr>
          <w:rFonts w:cs="Arial"/>
        </w:rPr>
        <w:t xml:space="preserve">In the remaining time before the front end is required to begin the VME bus transfers with the BLM Digitizer modules, the front end must service the ACNET requests for data.  These include the data logging requests for the “1 ms Integrated Samples”, the </w:t>
      </w:r>
      <w:r w:rsidR="00F45FFA">
        <w:rPr>
          <w:rFonts w:cs="Arial"/>
        </w:rPr>
        <w:t>ACNET B88 bar graph</w:t>
      </w:r>
      <w:r>
        <w:rPr>
          <w:rFonts w:cs="Arial"/>
        </w:rPr>
        <w:t xml:space="preserve"> display requests for the “100 Second Moving Sums” data, and Snapshot or other plotting application requests.</w:t>
      </w:r>
    </w:p>
    <w:p w:rsidR="00873C8D" w:rsidRDefault="00873C8D" w:rsidP="00873C8D">
      <w:pPr>
        <w:suppressAutoHyphens/>
        <w:spacing w:after="173" w:line="240" w:lineRule="auto"/>
        <w:rPr>
          <w:rFonts w:cs="Arial"/>
        </w:rPr>
      </w:pPr>
    </w:p>
    <w:p w:rsidR="00750CF3" w:rsidRDefault="00750CF3" w:rsidP="00750CF3">
      <w:pPr>
        <w:pStyle w:val="Heading1"/>
      </w:pPr>
      <w:bookmarkStart w:id="4" w:name="_Toc345660737"/>
      <w:r>
        <w:t>Signal Processing: Computing of Vario</w:t>
      </w:r>
      <w:r w:rsidR="00924D0D">
        <w:t>u</w:t>
      </w:r>
      <w:r w:rsidR="009F1290">
        <w:t>s</w:t>
      </w:r>
      <w:r>
        <w:t xml:space="preserve"> Sums</w:t>
      </w:r>
      <w:bookmarkEnd w:id="4"/>
    </w:p>
    <w:p w:rsidR="00750CF3" w:rsidRDefault="00750CF3" w:rsidP="00750CF3">
      <w:r>
        <w:t xml:space="preserve">Recall that within the Digitizer card the charge produced by the BLM ion chamber is integrated, or summed, over a 20 </w:t>
      </w:r>
      <w:r w:rsidR="009F1290">
        <w:t>μs</w:t>
      </w:r>
      <w:r>
        <w:t xml:space="preserve"> interval and is then digitized to produce a number.  These 20 </w:t>
      </w:r>
      <w:r w:rsidR="009F1290">
        <w:t>μs</w:t>
      </w:r>
      <w:r>
        <w:t xml:space="preserve"> samples are summed into 80 </w:t>
      </w:r>
      <w:r w:rsidR="009F1290">
        <w:t>μs</w:t>
      </w:r>
      <w:r>
        <w:t xml:space="preserve"> samples.  The 80 </w:t>
      </w:r>
      <w:r w:rsidR="009F1290">
        <w:t>μs</w:t>
      </w:r>
      <w:r>
        <w:t xml:space="preserve"> samples are divided by 4 to reduce the word size for transfer over the VME b</w:t>
      </w:r>
      <w:r w:rsidR="00924D0D">
        <w:t>u</w:t>
      </w:r>
      <w:r w:rsidR="009F1290">
        <w:t>s</w:t>
      </w:r>
      <w:r>
        <w:t>.</w:t>
      </w:r>
    </w:p>
    <w:p w:rsidR="00750CF3" w:rsidRDefault="00750CF3" w:rsidP="00750CF3">
      <w:r>
        <w:t xml:space="preserve">Within the crate processor the BLM data is stored as several different types of sums. Once the 80 </w:t>
      </w:r>
      <w:r w:rsidR="009F1290">
        <w:t>μs</w:t>
      </w:r>
      <w:r>
        <w:t xml:space="preserve"> samples are transferred to the processor, they are summed to represent longer intervals of time, and they are summed in distinctly different manners to represent the accumulation of BLM charge (beam loss) in different ways.</w:t>
      </w:r>
    </w:p>
    <w:p w:rsidR="00750CF3" w:rsidRDefault="00750CF3" w:rsidP="00750CF3">
      <w:pPr>
        <w:pStyle w:val="Heading2"/>
      </w:pPr>
      <w:bookmarkStart w:id="5" w:name="_Toc345660738"/>
      <w:r>
        <w:lastRenderedPageBreak/>
        <w:t xml:space="preserve">The Base 80 </w:t>
      </w:r>
      <w:r w:rsidR="009F1290">
        <w:t>μs</w:t>
      </w:r>
      <w:r>
        <w:t xml:space="preserve"> Integration Samples</w:t>
      </w:r>
      <w:bookmarkEnd w:id="5"/>
    </w:p>
    <w:p w:rsidR="00750CF3" w:rsidRDefault="00750CF3" w:rsidP="00750CF3">
      <w:r>
        <w:t xml:space="preserve">There is a 500 point buffer for </w:t>
      </w:r>
      <w:r w:rsidR="003C3791">
        <w:t>up to</w:t>
      </w:r>
      <w:r>
        <w:t xml:space="preserve"> 24 channels of 80 </w:t>
      </w:r>
      <w:r w:rsidR="009F1290">
        <w:t>μs</w:t>
      </w:r>
      <w:r>
        <w:t xml:space="preserve"> integrated data read from the BLM Digitizers over the VME b</w:t>
      </w:r>
      <w:r w:rsidR="009D5764">
        <w:t>u</w:t>
      </w:r>
      <w:r w:rsidR="009F1290">
        <w:t>s</w:t>
      </w:r>
      <w:r>
        <w:t xml:space="preserve">.  This data is </w:t>
      </w:r>
      <w:r w:rsidR="00924D0D">
        <w:t>used</w:t>
      </w:r>
      <w:r>
        <w:t xml:space="preserve"> to produce the other forms of data described </w:t>
      </w:r>
      <w:r w:rsidR="001D0381">
        <w:t>in the sections that follow</w:t>
      </w:r>
      <w:r>
        <w:t xml:space="preserve">. </w:t>
      </w:r>
    </w:p>
    <w:p w:rsidR="003C3791" w:rsidRDefault="003329D4" w:rsidP="003C3791">
      <w:pPr>
        <w:pStyle w:val="Heading3"/>
      </w:pPr>
      <w:bookmarkStart w:id="6" w:name="_Toc283123946"/>
      <w:bookmarkStart w:id="7" w:name="_Toc345660739"/>
      <w:r>
        <w:t xml:space="preserve">Ideal </w:t>
      </w:r>
      <w:r w:rsidR="003C3791">
        <w:t xml:space="preserve">Scaling </w:t>
      </w:r>
      <w:r w:rsidR="0043501A">
        <w:t xml:space="preserve">of </w:t>
      </w:r>
      <w:r w:rsidR="003C3791">
        <w:t>Digitizer Values to Rads and Rads/Second</w:t>
      </w:r>
      <w:bookmarkEnd w:id="6"/>
      <w:bookmarkEnd w:id="7"/>
    </w:p>
    <w:p w:rsidR="003C3791" w:rsidRDefault="003C3791" w:rsidP="003C3791">
      <w:pPr>
        <w:spacing w:after="173"/>
      </w:pPr>
      <w:r>
        <w:t>The sealed ion chamber used in the Booster has a scale factor of 70 nano-Coulombs per Rad of radiation that passes though its cross section.  The charge produced by the ion chamber is accumulated in the BLM integrating amplifiers.  The integration capacitor in the normal operating mode is 100 pF, and the full scale output of the integrator is 10 Volts.  Therefore the full scale output in Coulombs is</w:t>
      </w:r>
    </w:p>
    <w:p w:rsidR="003C3791" w:rsidRDefault="003C3791" w:rsidP="003C3791">
      <w:pPr>
        <w:spacing w:after="173"/>
      </w:pPr>
      <m:oMathPara>
        <m:oMath>
          <m:r>
            <w:rPr>
              <w:rFonts w:ascii="Cambria Math" w:hAnsi="Cambria Math"/>
            </w:rPr>
            <m:t>Q=V∙C=10∙100E-12=1.0 nanoCoulomb</m:t>
          </m:r>
        </m:oMath>
      </m:oMathPara>
    </w:p>
    <w:p w:rsidR="003C3791" w:rsidRDefault="003C3791" w:rsidP="003C3791">
      <w:pPr>
        <w:spacing w:after="173"/>
      </w:pPr>
      <w:r>
        <w:t>The integrator voltage is digitized with a 16 Bit ADC giving</w:t>
      </w:r>
    </w:p>
    <w:p w:rsidR="003C3791" w:rsidRDefault="005278F1" w:rsidP="003C3791">
      <w:pPr>
        <w:spacing w:after="173"/>
      </w:pPr>
      <m:oMathPara>
        <m:oMath>
          <m:f>
            <m:fPr>
              <m:ctrlPr>
                <w:rPr>
                  <w:rFonts w:ascii="Cambria Math" w:hAnsi="Cambria Math"/>
                  <w:i/>
                </w:rPr>
              </m:ctrlPr>
            </m:fPr>
            <m:num>
              <m:r>
                <w:rPr>
                  <w:rFonts w:ascii="Cambria Math" w:hAnsi="Cambria Math"/>
                </w:rPr>
                <m:t>1.0E-9 Coulombs</m:t>
              </m:r>
            </m:num>
            <m:den>
              <m:r>
                <w:rPr>
                  <w:rFonts w:ascii="Cambria Math" w:hAnsi="Cambria Math"/>
                </w:rPr>
                <m:t>65,535 Counts</m:t>
              </m:r>
            </m:den>
          </m:f>
          <m:r>
            <w:rPr>
              <w:rFonts w:ascii="Cambria Math" w:hAnsi="Cambria Math"/>
            </w:rPr>
            <m:t>=</m:t>
          </m:r>
          <m:f>
            <m:fPr>
              <m:ctrlPr>
                <w:rPr>
                  <w:rFonts w:ascii="Cambria Math" w:hAnsi="Cambria Math"/>
                  <w:i/>
                </w:rPr>
              </m:ctrlPr>
            </m:fPr>
            <m:num>
              <m:r>
                <w:rPr>
                  <w:rFonts w:ascii="Cambria Math" w:hAnsi="Cambria Math"/>
                </w:rPr>
                <m:t>15.26 femtoCoulombs</m:t>
              </m:r>
            </m:num>
            <m:den>
              <m:r>
                <w:rPr>
                  <w:rFonts w:ascii="Cambria Math" w:hAnsi="Cambria Math"/>
                </w:rPr>
                <m:t>Count</m:t>
              </m:r>
            </m:den>
          </m:f>
        </m:oMath>
      </m:oMathPara>
    </w:p>
    <w:p w:rsidR="003C3791" w:rsidRDefault="003C3791" w:rsidP="003C3791">
      <w:pPr>
        <w:spacing w:after="173"/>
      </w:pPr>
      <w:r>
        <w:t>Applying the relationship between Rads and the Coulombs of charge produced by the Loss Monitor Ion chamber we get</w:t>
      </w:r>
    </w:p>
    <w:p w:rsidR="003C3791" w:rsidRDefault="005278F1" w:rsidP="003C3791">
      <w:pPr>
        <w:spacing w:after="173"/>
      </w:pPr>
      <m:oMathPara>
        <m:oMath>
          <m:f>
            <m:fPr>
              <m:ctrlPr>
                <w:rPr>
                  <w:rFonts w:ascii="Cambria Math" w:hAnsi="Cambria Math"/>
                  <w:i/>
                </w:rPr>
              </m:ctrlPr>
            </m:fPr>
            <m:num>
              <m:r>
                <w:rPr>
                  <w:rFonts w:ascii="Cambria Math" w:hAnsi="Cambria Math"/>
                </w:rPr>
                <m:t>15.26 femtoCoulombs</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Rad</m:t>
              </m:r>
            </m:num>
            <m:den>
              <m:r>
                <w:rPr>
                  <w:rFonts w:ascii="Cambria Math" w:hAnsi="Cambria Math"/>
                </w:rPr>
                <m:t>70 nanoCoulombs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oMath>
      </m:oMathPara>
    </w:p>
    <w:p w:rsidR="003C3791" w:rsidRDefault="003C3791" w:rsidP="003C3791">
      <w:pPr>
        <w:spacing w:after="173"/>
      </w:pPr>
      <w:r>
        <w:t xml:space="preserve">This is the conversion before we </w:t>
      </w:r>
      <w:r w:rsidRPr="008A1341">
        <w:rPr>
          <w:i/>
        </w:rPr>
        <w:t>average</w:t>
      </w:r>
      <w:r>
        <w:t xml:space="preserve"> four integration intervals together and store the average in the FIFO from which the processor gets its values.  Therefore the conversion that is to be applied to the values read from the FIFO’s by the processor is </w:t>
      </w:r>
    </w:p>
    <w:p w:rsidR="003C3791" w:rsidRDefault="003C3791" w:rsidP="003C3791">
      <w:pPr>
        <w:pBdr>
          <w:top w:val="single" w:sz="4" w:space="1" w:color="auto"/>
          <w:left w:val="single" w:sz="4" w:space="4" w:color="auto"/>
          <w:bottom w:val="single" w:sz="4" w:space="1" w:color="auto"/>
          <w:right w:val="single" w:sz="4" w:space="4" w:color="auto"/>
        </w:pBdr>
        <w:spacing w:after="173"/>
        <w:ind w:left="1440" w:right="1440"/>
      </w:pPr>
      <m:oMathPara>
        <m:oMath>
          <m:r>
            <w:rPr>
              <w:rFonts w:ascii="Cambria Math" w:hAnsi="Cambria Math"/>
            </w:rPr>
            <m:t>4 ∙</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0.872 microRad</m:t>
              </m:r>
            </m:num>
            <m:den>
              <m:r>
                <w:rPr>
                  <w:rFonts w:ascii="Cambria Math" w:hAnsi="Cambria Math"/>
                </w:rPr>
                <m:t>Count</m:t>
              </m:r>
            </m:den>
          </m:f>
        </m:oMath>
      </m:oMathPara>
    </w:p>
    <w:p w:rsidR="003C3791" w:rsidRDefault="003C3791" w:rsidP="003C3791">
      <w:pPr>
        <w:spacing w:after="173"/>
      </w:pPr>
      <w:r>
        <w:t>The measurement made is an integration or summing of charge from the Loss Monitor ion chamber.  If we wish to compute Rad/Second, the rate at which radiation is impacting the ion chamber, we must settle for the average rate over some time interval.  The smallest time interval is the 20.0 μs interval that the digitized integrator values represent.  Since the values written to the FIFO’s is the average value over 4 each 20.0 μs intervals one can compute the Rads/Sec rate these values describe</w:t>
      </w:r>
    </w:p>
    <w:p w:rsidR="003C3791" w:rsidRDefault="005278F1" w:rsidP="003C3791">
      <w:pPr>
        <w:spacing w:after="173"/>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20.0 microSeconds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0.0109</m:t>
              </m:r>
              <m:d>
                <m:dPr>
                  <m:ctrlPr>
                    <w:rPr>
                      <w:rFonts w:ascii="Cambria Math" w:hAnsi="Cambria Math"/>
                      <w:i/>
                    </w:rPr>
                  </m:ctrlPr>
                </m:dPr>
                <m:e>
                  <m:f>
                    <m:fPr>
                      <m:ctrlPr>
                        <w:rPr>
                          <w:rFonts w:ascii="Cambria Math" w:hAnsi="Cambria Math"/>
                          <w:i/>
                        </w:rPr>
                      </m:ctrlPr>
                    </m:fPr>
                    <m:num>
                      <m:r>
                        <w:rPr>
                          <w:rFonts w:ascii="Cambria Math" w:hAnsi="Cambria Math"/>
                        </w:rPr>
                        <m:t>Rad</m:t>
                      </m:r>
                    </m:num>
                    <m:den>
                      <m:r>
                        <w:rPr>
                          <w:rFonts w:ascii="Cambria Math" w:hAnsi="Cambria Math"/>
                        </w:rPr>
                        <m:t>Second</m:t>
                      </m:r>
                    </m:den>
                  </m:f>
                </m:e>
              </m:d>
            </m:num>
            <m:den>
              <m:r>
                <w:rPr>
                  <w:rFonts w:ascii="Cambria Math" w:hAnsi="Cambria Math"/>
                </w:rPr>
                <m:t>Count</m:t>
              </m:r>
            </m:den>
          </m:f>
        </m:oMath>
      </m:oMathPara>
    </w:p>
    <w:p w:rsidR="003C3791" w:rsidRDefault="003C3791" w:rsidP="00750CF3"/>
    <w:p w:rsidR="00750CF3" w:rsidRDefault="00750CF3" w:rsidP="00017B85">
      <w:pPr>
        <w:pStyle w:val="Heading2"/>
      </w:pPr>
      <w:bookmarkStart w:id="8" w:name="_Toc345660740"/>
      <w:r>
        <w:lastRenderedPageBreak/>
        <w:t>The Full Cycle Sampled Accumulation</w:t>
      </w:r>
      <w:r w:rsidR="00B24FFD">
        <w:t xml:space="preserve"> (BLME Support)</w:t>
      </w:r>
      <w:bookmarkEnd w:id="8"/>
    </w:p>
    <w:p w:rsidR="00750CF3" w:rsidRDefault="009F5DBB" w:rsidP="00750CF3">
      <w:r>
        <w:t>After the 80 μs samples have been read from the Digitizer cards, t</w:t>
      </w:r>
      <w:r w:rsidR="00750CF3">
        <w:t xml:space="preserve">he data is summed into 500 </w:t>
      </w:r>
      <w:r w:rsidR="008E6F83">
        <w:t>Long Integer</w:t>
      </w:r>
      <w:r w:rsidR="00750CF3">
        <w:t xml:space="preserve"> values of a continuo</w:t>
      </w:r>
      <w:r w:rsidR="009D5764">
        <w:t>u</w:t>
      </w:r>
      <w:r w:rsidR="009F1290">
        <w:t>s</w:t>
      </w:r>
      <w:r w:rsidR="00750CF3">
        <w:t>ly integrating signal.  That is,</w:t>
      </w:r>
    </w:p>
    <w:p w:rsidR="00017B85" w:rsidRDefault="00BA285B" w:rsidP="00750CF3">
      <w:pPr>
        <w:rPr>
          <w:rFonts w:eastAsiaTheme="minorEastAsia"/>
        </w:rPr>
      </w:pPr>
      <m:oMathPara>
        <m:oMath>
          <m:r>
            <w:rPr>
              <w:rFonts w:ascii="Cambria Math" w:hAnsi="Cambria Math"/>
            </w:rPr>
            <m:t>S</m:t>
          </m:r>
          <m:d>
            <m:dPr>
              <m:ctrlPr>
                <w:rPr>
                  <w:rFonts w:ascii="Cambria Math" w:hAnsi="Cambria Math"/>
                  <w:i/>
                </w:rPr>
              </m:ctrlPr>
            </m:dPr>
            <m:e>
              <m:r>
                <w:rPr>
                  <w:rFonts w:ascii="Cambria Math" w:hAnsi="Cambria Math"/>
                </w:rPr>
                <m:t>k</m:t>
              </m:r>
            </m:e>
          </m:d>
          <m:r>
            <w:rPr>
              <w:rFonts w:ascii="Cambria Math" w:hAnsi="Cambria Math"/>
            </w:rPr>
            <m:t>=S</m:t>
          </m:r>
          <m:d>
            <m:dPr>
              <m:ctrlPr>
                <w:rPr>
                  <w:rFonts w:ascii="Cambria Math" w:hAnsi="Cambria Math"/>
                  <w:i/>
                </w:rPr>
              </m:ctrlPr>
            </m:dPr>
            <m:e>
              <m:r>
                <w:rPr>
                  <w:rFonts w:ascii="Cambria Math" w:hAnsi="Cambria Math"/>
                </w:rPr>
                <m:t>k-1</m:t>
              </m:r>
            </m:e>
          </m:d>
          <m:r>
            <w:rPr>
              <w:rFonts w:ascii="Cambria Math" w:hAnsi="Cambria Math"/>
            </w:rPr>
            <m:t>+A</m:t>
          </m:r>
          <m:d>
            <m:dPr>
              <m:ctrlPr>
                <w:rPr>
                  <w:rFonts w:ascii="Cambria Math" w:hAnsi="Cambria Math"/>
                  <w:i/>
                </w:rPr>
              </m:ctrlPr>
            </m:dPr>
            <m:e>
              <m:r>
                <w:rPr>
                  <w:rFonts w:ascii="Cambria Math" w:hAnsi="Cambria Math"/>
                </w:rPr>
                <m:t>k</m:t>
              </m:r>
            </m:e>
          </m:d>
          <m:r>
            <w:rPr>
              <w:rFonts w:ascii="Cambria Math" w:hAnsi="Cambria Math"/>
            </w:rPr>
            <m:t>-pedestal,  for k=1…499</m:t>
          </m:r>
        </m:oMath>
      </m:oMathPara>
    </w:p>
    <w:p w:rsidR="00017B85" w:rsidRDefault="00C03893" w:rsidP="00750CF3">
      <m:oMathPara>
        <m:oMath>
          <m:r>
            <w:rPr>
              <w:rFonts w:ascii="Cambria Math" w:hAnsi="Cambria Math"/>
            </w:rPr>
            <m:t>S</m:t>
          </m:r>
          <m:d>
            <m:dPr>
              <m:ctrlPr>
                <w:rPr>
                  <w:rFonts w:ascii="Cambria Math" w:hAnsi="Cambria Math"/>
                  <w:i/>
                </w:rPr>
              </m:ctrlPr>
            </m:dPr>
            <m:e>
              <m:r>
                <w:rPr>
                  <w:rFonts w:ascii="Cambria Math" w:hAnsi="Cambria Math"/>
                </w:rPr>
                <m:t>0</m:t>
              </m:r>
            </m:e>
          </m:d>
          <m:r>
            <w:rPr>
              <w:rFonts w:ascii="Cambria Math" w:hAnsi="Cambria Math"/>
            </w:rPr>
            <m:t>=A</m:t>
          </m:r>
          <m:d>
            <m:dPr>
              <m:ctrlPr>
                <w:rPr>
                  <w:rFonts w:ascii="Cambria Math" w:hAnsi="Cambria Math"/>
                  <w:i/>
                </w:rPr>
              </m:ctrlPr>
            </m:dPr>
            <m:e>
              <m:r>
                <w:rPr>
                  <w:rFonts w:ascii="Cambria Math" w:hAnsi="Cambria Math"/>
                </w:rPr>
                <m:t>0</m:t>
              </m:r>
            </m:e>
          </m:d>
        </m:oMath>
      </m:oMathPara>
    </w:p>
    <w:p w:rsidR="009F5DBB" w:rsidRDefault="00B2166D" w:rsidP="00750CF3">
      <w:r>
        <w:t>w</w:t>
      </w:r>
      <w:r w:rsidR="00750CF3">
        <w:t>here</w:t>
      </w:r>
      <w:r>
        <w:t xml:space="preserve"> </w:t>
      </w:r>
      <w:r w:rsidR="00750CF3">
        <w:t xml:space="preserve"> </w:t>
      </w:r>
      <m:oMath>
        <m:r>
          <w:rPr>
            <w:rFonts w:ascii="Cambria Math" w:hAnsi="Cambria Math"/>
          </w:rPr>
          <m:t>S(k)</m:t>
        </m:r>
      </m:oMath>
      <w:r w:rsidR="00017B85">
        <w:t xml:space="preserve"> </w:t>
      </w:r>
      <w:r w:rsidR="006B568E">
        <w:t>are samples of</w:t>
      </w:r>
      <w:r w:rsidR="00750CF3">
        <w:t xml:space="preserve"> the continuo</w:t>
      </w:r>
      <w:r w:rsidR="009D5764">
        <w:t>u</w:t>
      </w:r>
      <w:r w:rsidR="009F1290">
        <w:t>s</w:t>
      </w:r>
      <w:r w:rsidR="00750CF3">
        <w:t xml:space="preserve">ly integrating signal and </w:t>
      </w:r>
      <m:oMath>
        <m:r>
          <w:rPr>
            <w:rFonts w:ascii="Cambria Math" w:hAnsi="Cambria Math"/>
          </w:rPr>
          <m:t>A</m:t>
        </m:r>
        <m:d>
          <m:dPr>
            <m:ctrlPr>
              <w:rPr>
                <w:rFonts w:ascii="Cambria Math" w:hAnsi="Cambria Math"/>
                <w:i/>
              </w:rPr>
            </m:ctrlPr>
          </m:dPr>
          <m:e>
            <m:r>
              <w:rPr>
                <w:rFonts w:ascii="Cambria Math" w:hAnsi="Cambria Math"/>
              </w:rPr>
              <m:t>k</m:t>
            </m:r>
          </m:e>
        </m:d>
      </m:oMath>
      <w:r w:rsidR="00750CF3">
        <w:t xml:space="preserve"> are the 80 </w:t>
      </w:r>
      <w:r w:rsidR="009F1290">
        <w:t>μs</w:t>
      </w:r>
      <w:r w:rsidR="00750CF3">
        <w:t xml:space="preserve"> integration samples.  There is a 500 point buffer of this kind for </w:t>
      </w:r>
      <w:r w:rsidR="006B568E">
        <w:t>as many as</w:t>
      </w:r>
      <w:r w:rsidR="00750CF3">
        <w:t xml:space="preserve"> 24 B</w:t>
      </w:r>
      <w:r w:rsidR="006B568E">
        <w:t>LM</w:t>
      </w:r>
      <w:r w:rsidR="00750CF3">
        <w:t xml:space="preserve"> channels.  </w:t>
      </w:r>
    </w:p>
    <w:p w:rsidR="00C072A0" w:rsidRDefault="003230F7" w:rsidP="001418A8">
      <w:pPr>
        <w:tabs>
          <w:tab w:val="left" w:pos="720"/>
        </w:tabs>
        <w:suppressAutoHyphens/>
        <w:spacing w:after="240" w:line="240" w:lineRule="auto"/>
        <w:rPr>
          <w:rFonts w:cs="Arial"/>
        </w:rPr>
      </w:pPr>
      <w:r>
        <w:rPr>
          <w:rFonts w:cs="Arial"/>
        </w:rPr>
        <w:t>The Full Cycle Sampled Accumulation values are converted into units of Rads (x4000).  This conversion will make the numbers smaller, small enough to reduce the digital values to 16 bits.  The range and resolution are still acceptable</w:t>
      </w:r>
      <w:r w:rsidR="00C072A0">
        <w:rPr>
          <w:rFonts w:cs="Arial"/>
        </w:rPr>
        <w:t>.  The maximum value in Rads can be 16.384 with an ideal resolution of 0.00025 Rads per bit.  The charge in Coulombs from the BLM that results in this maximum in Rads was previously 58 Rads/Sec</w:t>
      </w:r>
      <w:r w:rsidR="00904FAA">
        <w:rPr>
          <w:rFonts w:cs="Arial"/>
        </w:rPr>
        <w:t xml:space="preserve"> in the old system</w:t>
      </w:r>
      <w:r w:rsidR="00C072A0">
        <w:rPr>
          <w:rFonts w:cs="Arial"/>
        </w:rPr>
        <w:t>.</w:t>
      </w:r>
      <w:r w:rsidR="0040669F">
        <w:rPr>
          <w:rFonts w:cs="Arial"/>
        </w:rPr>
        <w:t xml:space="preserve">  Details on the scaling are given in a later section.</w:t>
      </w:r>
    </w:p>
    <w:p w:rsidR="00AD0E97" w:rsidRDefault="00C072A0" w:rsidP="001418A8">
      <w:pPr>
        <w:tabs>
          <w:tab w:val="left" w:pos="720"/>
        </w:tabs>
        <w:suppressAutoHyphens/>
        <w:spacing w:after="240" w:line="240" w:lineRule="auto"/>
        <w:rPr>
          <w:rFonts w:cs="Arial"/>
        </w:rPr>
      </w:pPr>
      <w:r>
        <w:rPr>
          <w:rFonts w:cs="Arial"/>
        </w:rPr>
        <w:t>The conversion to Rads (x4000) is</w:t>
      </w:r>
    </w:p>
    <w:p w:rsidR="00082B59" w:rsidRDefault="00AD0E97">
      <w:pPr>
        <w:tabs>
          <w:tab w:val="left" w:pos="720"/>
        </w:tabs>
        <w:suppressAutoHyphens/>
        <w:spacing w:after="240" w:line="240" w:lineRule="auto"/>
        <w:jc w:val="center"/>
        <w:rPr>
          <w:rFonts w:cs="Arial"/>
        </w:rPr>
      </w:pPr>
      <m:oMathPara>
        <m:oMath>
          <m:r>
            <w:rPr>
              <w:rFonts w:ascii="Cambria Math" w:hAnsi="Cambria Math" w:cs="Arial"/>
            </w:rPr>
            <m:t>Rads</m:t>
          </m:r>
          <m:d>
            <m:dPr>
              <m:ctrlPr>
                <w:rPr>
                  <w:rFonts w:ascii="Cambria Math" w:hAnsi="Cambria Math" w:cs="Arial"/>
                  <w:i/>
                </w:rPr>
              </m:ctrlPr>
            </m:dPr>
            <m:e>
              <m:r>
                <w:rPr>
                  <w:rFonts w:ascii="Cambria Math" w:hAnsi="Cambria Math" w:cs="Arial"/>
                </w:rPr>
                <m:t>k</m:t>
              </m:r>
            </m:e>
          </m:d>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*15/</m:t>
          </m:r>
          <m:sSup>
            <m:sSupPr>
              <m:ctrlPr>
                <w:rPr>
                  <w:rFonts w:ascii="Cambria Math" w:hAnsi="Cambria Math" w:cs="Arial"/>
                  <w:i/>
                </w:rPr>
              </m:ctrlPr>
            </m:sSupPr>
            <m:e>
              <m:r>
                <w:rPr>
                  <w:rFonts w:ascii="Cambria Math" w:hAnsi="Cambria Math" w:cs="Arial"/>
                </w:rPr>
                <m:t>2</m:t>
              </m:r>
            </m:e>
            <m:sup>
              <m:r>
                <w:rPr>
                  <w:rFonts w:ascii="Cambria Math" w:hAnsi="Cambria Math" w:cs="Arial"/>
                </w:rPr>
                <m:t>12</m:t>
              </m:r>
            </m:sup>
          </m:sSup>
        </m:oMath>
      </m:oMathPara>
    </w:p>
    <w:p w:rsidR="008E4180" w:rsidRDefault="008E4180" w:rsidP="001418A8">
      <w:pPr>
        <w:tabs>
          <w:tab w:val="left" w:pos="720"/>
        </w:tabs>
        <w:suppressAutoHyphens/>
        <w:spacing w:after="240" w:line="240" w:lineRule="auto"/>
        <w:rPr>
          <w:rFonts w:cs="Arial"/>
        </w:rPr>
      </w:pPr>
      <w:r w:rsidRPr="008E4180">
        <w:rPr>
          <w:rFonts w:cs="Arial"/>
        </w:rPr>
        <w:t>This data is what is delivere</w:t>
      </w:r>
      <w:r w:rsidR="001418A8">
        <w:rPr>
          <w:rFonts w:cs="Arial"/>
        </w:rPr>
        <w:t>d to ACNET for snapshot plots</w:t>
      </w:r>
      <w:r w:rsidR="00904FAA">
        <w:rPr>
          <w:rFonts w:cs="Arial"/>
        </w:rPr>
        <w:t xml:space="preserve"> and parameter pages</w:t>
      </w:r>
      <w:r w:rsidR="001418A8">
        <w:rPr>
          <w:rFonts w:cs="Arial"/>
        </w:rPr>
        <w:t xml:space="preserve">.  </w:t>
      </w:r>
      <w:r w:rsidRPr="008E4180">
        <w:rPr>
          <w:rFonts w:cs="Arial"/>
        </w:rPr>
        <w:t>The ACNET device names for this type of data have the form B</w:t>
      </w:r>
      <w:r w:rsidR="00B521E1" w:rsidRPr="008E4180">
        <w:rPr>
          <w:rFonts w:cs="Arial"/>
        </w:rPr>
        <w:t>: BLMxxx</w:t>
      </w:r>
      <w:r w:rsidRPr="008E4180">
        <w:rPr>
          <w:rFonts w:cs="Arial"/>
        </w:rPr>
        <w:t>.</w:t>
      </w:r>
    </w:p>
    <w:p w:rsidR="00DD5E47" w:rsidRDefault="00DD5E47" w:rsidP="00DD5E47">
      <w:r w:rsidRPr="00D435B7">
        <w:rPr>
          <w:noProof/>
        </w:rPr>
        <w:lastRenderedPageBreak/>
        <w:drawing>
          <wp:inline distT="0" distB="0" distL="0" distR="0">
            <wp:extent cx="4633913" cy="4538662"/>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4633913" cy="4538662"/>
                    </a:xfrm>
                    <a:prstGeom prst="rect">
                      <a:avLst/>
                    </a:prstGeom>
                    <a:solidFill>
                      <a:srgbClr val="FFFFFF"/>
                    </a:solidFill>
                    <a:ln w="9525">
                      <a:noFill/>
                      <a:miter lim="800000"/>
                      <a:headEnd/>
                      <a:tailEnd/>
                    </a:ln>
                  </pic:spPr>
                </pic:pic>
              </a:graphicData>
            </a:graphic>
          </wp:inline>
        </w:drawing>
      </w:r>
    </w:p>
    <w:p w:rsidR="00DD5E47" w:rsidRDefault="00DD5E47" w:rsidP="00DD5E47">
      <w:r>
        <w:t>Figure IV.2.1 Illustration of the computed sums</w:t>
      </w:r>
    </w:p>
    <w:p w:rsidR="001E7F75" w:rsidRPr="008E4180" w:rsidRDefault="001E7F75" w:rsidP="001418A8">
      <w:pPr>
        <w:tabs>
          <w:tab w:val="left" w:pos="720"/>
        </w:tabs>
        <w:suppressAutoHyphens/>
        <w:spacing w:after="240" w:line="240" w:lineRule="auto"/>
        <w:rPr>
          <w:rFonts w:cs="Arial"/>
        </w:rPr>
      </w:pPr>
    </w:p>
    <w:p w:rsidR="00750CF3" w:rsidRDefault="00FE1EA7" w:rsidP="00017B85">
      <w:pPr>
        <w:pStyle w:val="Heading2"/>
      </w:pPr>
      <w:bookmarkStart w:id="9" w:name="_Toc345660741"/>
      <w:r>
        <w:t>The 1 ms Integration Samples</w:t>
      </w:r>
      <w:bookmarkEnd w:id="9"/>
    </w:p>
    <w:p w:rsidR="00750CF3" w:rsidRDefault="00750CF3" w:rsidP="00750CF3">
      <w:r>
        <w:t>Each cycle, the data is summed into 40 each 1 ms sums.  That is,</w:t>
      </w:r>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0</m:t>
              </m:r>
            </m:e>
          </m:d>
          <m:r>
            <w:rPr>
              <w:rFonts w:ascii="Cambria Math" w:hAnsi="Cambria Math"/>
            </w:rPr>
            <m:t>=S</m:t>
          </m:r>
          <m:d>
            <m:dPr>
              <m:ctrlPr>
                <w:rPr>
                  <w:rFonts w:ascii="Cambria Math" w:hAnsi="Cambria Math"/>
                  <w:i/>
                </w:rPr>
              </m:ctrlPr>
            </m:dPr>
            <m:e>
              <m:r>
                <w:rPr>
                  <w:rFonts w:ascii="Cambria Math" w:hAnsi="Cambria Math"/>
                </w:rPr>
                <m:t>11</m:t>
              </m:r>
            </m:e>
          </m:d>
          <m:r>
            <w:rPr>
              <w:rFonts w:ascii="Cambria Math" w:hAnsi="Cambria Math"/>
            </w:rPr>
            <m:t>-S</m:t>
          </m:r>
          <m:d>
            <m:dPr>
              <m:ctrlPr>
                <w:rPr>
                  <w:rFonts w:ascii="Cambria Math" w:hAnsi="Cambria Math"/>
                  <w:i/>
                </w:rPr>
              </m:ctrlPr>
            </m:dPr>
            <m:e>
              <m:r>
                <w:rPr>
                  <w:rFonts w:ascii="Cambria Math" w:hAnsi="Cambria Math"/>
                </w:rPr>
                <m:t>0</m:t>
              </m:r>
            </m:e>
          </m:d>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1</m:t>
              </m:r>
            </m:e>
          </m:d>
          <m:r>
            <w:rPr>
              <w:rFonts w:ascii="Cambria Math" w:hAnsi="Cambria Math"/>
            </w:rPr>
            <m:t>=S</m:t>
          </m:r>
          <m:d>
            <m:dPr>
              <m:ctrlPr>
                <w:rPr>
                  <w:rFonts w:ascii="Cambria Math" w:hAnsi="Cambria Math"/>
                  <w:i/>
                </w:rPr>
              </m:ctrlPr>
            </m:dPr>
            <m:e>
              <m:r>
                <w:rPr>
                  <w:rFonts w:ascii="Cambria Math" w:hAnsi="Cambria Math"/>
                </w:rPr>
                <m:t>23</m:t>
              </m:r>
            </m:e>
          </m:d>
          <m:r>
            <w:rPr>
              <w:rFonts w:ascii="Cambria Math" w:hAnsi="Cambria Math"/>
            </w:rPr>
            <m:t>-S</m:t>
          </m:r>
          <m:d>
            <m:dPr>
              <m:ctrlPr>
                <w:rPr>
                  <w:rFonts w:ascii="Cambria Math" w:hAnsi="Cambria Math"/>
                  <w:i/>
                </w:rPr>
              </m:ctrlPr>
            </m:dPr>
            <m:e>
              <m:r>
                <w:rPr>
                  <w:rFonts w:ascii="Cambria Math" w:hAnsi="Cambria Math"/>
                </w:rPr>
                <m:t>12</m:t>
              </m:r>
            </m:e>
          </m:d>
        </m:oMath>
      </m:oMathPara>
    </w:p>
    <w:p w:rsidR="007B4233" w:rsidRP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2</m:t>
              </m:r>
            </m:e>
          </m:d>
          <m:r>
            <w:rPr>
              <w:rFonts w:ascii="Cambria Math" w:hAnsi="Cambria Math"/>
            </w:rPr>
            <m:t>=S</m:t>
          </m:r>
          <m:d>
            <m:dPr>
              <m:ctrlPr>
                <w:rPr>
                  <w:rFonts w:ascii="Cambria Math" w:hAnsi="Cambria Math"/>
                  <w:i/>
                </w:rPr>
              </m:ctrlPr>
            </m:dPr>
            <m:e>
              <m:r>
                <w:rPr>
                  <w:rFonts w:ascii="Cambria Math" w:hAnsi="Cambria Math"/>
                </w:rPr>
                <m:t>35</m:t>
              </m:r>
            </m:e>
          </m:d>
          <m:r>
            <w:rPr>
              <w:rFonts w:ascii="Cambria Math" w:hAnsi="Cambria Math"/>
            </w:rPr>
            <m:t>-S</m:t>
          </m:r>
          <m:d>
            <m:dPr>
              <m:ctrlPr>
                <w:rPr>
                  <w:rFonts w:ascii="Cambria Math" w:hAnsi="Cambria Math"/>
                  <w:i/>
                </w:rPr>
              </m:ctrlPr>
            </m:dPr>
            <m:e>
              <m:r>
                <w:rPr>
                  <w:rFonts w:ascii="Cambria Math" w:hAnsi="Cambria Math"/>
                </w:rPr>
                <m:t>24</m:t>
              </m:r>
            </m:e>
          </m:d>
        </m:oMath>
      </m:oMathPara>
    </w:p>
    <w:p w:rsidR="007B4233" w:rsidRPr="00EA0375" w:rsidRDefault="00DE4665" w:rsidP="002730C3">
      <w:pPr>
        <w:ind w:left="3150"/>
        <w:rPr>
          <w:rFonts w:eastAsiaTheme="minorEastAsia"/>
          <w:sz w:val="56"/>
          <w:szCs w:val="56"/>
        </w:rPr>
      </w:pPr>
      <m:oMathPara>
        <m:oMathParaPr>
          <m:jc m:val="left"/>
        </m:oMathParaPr>
        <m:oMath>
          <m:r>
            <w:rPr>
              <w:rFonts w:ascii="Cambria Math" w:eastAsiaTheme="minorEastAsia" w:hAnsi="Cambria Math"/>
              <w:sz w:val="56"/>
              <w:szCs w:val="56"/>
            </w:rPr>
            <m:t>⋮</m:t>
          </m:r>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39</m:t>
              </m:r>
            </m:e>
          </m:d>
          <m:r>
            <w:rPr>
              <w:rFonts w:ascii="Cambria Math" w:hAnsi="Cambria Math"/>
            </w:rPr>
            <m:t>=S</m:t>
          </m:r>
          <m:d>
            <m:dPr>
              <m:ctrlPr>
                <w:rPr>
                  <w:rFonts w:ascii="Cambria Math" w:hAnsi="Cambria Math"/>
                  <w:i/>
                </w:rPr>
              </m:ctrlPr>
            </m:dPr>
            <m:e>
              <m:r>
                <w:rPr>
                  <w:rFonts w:ascii="Cambria Math" w:hAnsi="Cambria Math"/>
                </w:rPr>
                <m:t>499</m:t>
              </m:r>
            </m:e>
          </m:d>
          <m:r>
            <w:rPr>
              <w:rFonts w:ascii="Cambria Math" w:hAnsi="Cambria Math"/>
            </w:rPr>
            <m:t>-S</m:t>
          </m:r>
          <m:d>
            <m:dPr>
              <m:ctrlPr>
                <w:rPr>
                  <w:rFonts w:ascii="Cambria Math" w:hAnsi="Cambria Math"/>
                  <w:i/>
                </w:rPr>
              </m:ctrlPr>
            </m:dPr>
            <m:e>
              <m:r>
                <w:rPr>
                  <w:rFonts w:ascii="Cambria Math" w:hAnsi="Cambria Math"/>
                </w:rPr>
                <m:t>488</m:t>
              </m:r>
            </m:e>
          </m:d>
        </m:oMath>
      </m:oMathPara>
    </w:p>
    <w:p w:rsidR="00750CF3" w:rsidRDefault="00B24FFD" w:rsidP="00750CF3">
      <w:r>
        <w:t>w</w:t>
      </w:r>
      <w:r w:rsidR="00750CF3">
        <w:t>here</w:t>
      </w:r>
      <w:r w:rsidR="001418A8">
        <w:t xml:space="preserve"> </w:t>
      </w:r>
      <m:oMath>
        <m:r>
          <w:rPr>
            <w:rFonts w:ascii="Cambria Math" w:hAnsi="Cambria Math"/>
          </w:rPr>
          <m:t>S</m:t>
        </m:r>
        <m:d>
          <m:dPr>
            <m:ctrlPr>
              <w:rPr>
                <w:rFonts w:ascii="Cambria Math" w:hAnsi="Cambria Math"/>
                <w:i/>
              </w:rPr>
            </m:ctrlPr>
          </m:dPr>
          <m:e>
            <m:r>
              <w:rPr>
                <w:rFonts w:ascii="Cambria Math" w:hAnsi="Cambria Math"/>
              </w:rPr>
              <m:t>k</m:t>
            </m:r>
          </m:e>
        </m:d>
      </m:oMath>
      <w:r w:rsidR="001418A8">
        <w:rPr>
          <w:rFonts w:eastAsiaTheme="minorEastAsia"/>
        </w:rPr>
        <w:t xml:space="preserve"> are the </w:t>
      </w:r>
      <w:r w:rsidR="00C22386">
        <w:rPr>
          <w:rFonts w:eastAsiaTheme="minorEastAsia"/>
        </w:rPr>
        <w:t>Full Cycle S</w:t>
      </w:r>
      <w:r w:rsidR="001418A8">
        <w:rPr>
          <w:rFonts w:eastAsiaTheme="minorEastAsia"/>
        </w:rPr>
        <w:t xml:space="preserve">ampled </w:t>
      </w:r>
      <w:r w:rsidR="00C22386">
        <w:rPr>
          <w:rFonts w:eastAsiaTheme="minorEastAsia"/>
        </w:rPr>
        <w:t>A</w:t>
      </w:r>
      <w:r w:rsidR="001418A8">
        <w:rPr>
          <w:rFonts w:eastAsiaTheme="minorEastAsia"/>
        </w:rPr>
        <w:t>ccumulation</w:t>
      </w:r>
      <w:r>
        <w:rPr>
          <w:rFonts w:eastAsiaTheme="minorEastAsia"/>
        </w:rPr>
        <w:t xml:space="preserve"> points </w:t>
      </w:r>
      <w:r w:rsidR="001418A8">
        <w:rPr>
          <w:rFonts w:eastAsiaTheme="minorEastAsia"/>
        </w:rPr>
        <w:t>and</w:t>
      </w:r>
      <w:r w:rsidR="00750CF3">
        <w:t xml:space="preserve"> </w:t>
      </w:r>
      <m:oMath>
        <m:r>
          <w:rPr>
            <w:rFonts w:ascii="Cambria Math" w:hAnsi="Cambria Math"/>
          </w:rPr>
          <m:t>w</m:t>
        </m:r>
        <m:d>
          <m:dPr>
            <m:ctrlPr>
              <w:rPr>
                <w:rFonts w:ascii="Cambria Math" w:hAnsi="Cambria Math"/>
                <w:i/>
              </w:rPr>
            </m:ctrlPr>
          </m:dPr>
          <m:e>
            <m:r>
              <w:rPr>
                <w:rFonts w:ascii="Cambria Math" w:hAnsi="Cambria Math"/>
              </w:rPr>
              <m:t>k</m:t>
            </m:r>
          </m:e>
        </m:d>
      </m:oMath>
      <w:r w:rsidR="00750CF3">
        <w:t xml:space="preserve">are the 1 ms sums.  These sums are double precision floating point values.  There is a 40 point buffer of this kind for each </w:t>
      </w:r>
      <w:r w:rsidR="00A05992">
        <w:lastRenderedPageBreak/>
        <w:t xml:space="preserve">of the 12 </w:t>
      </w:r>
      <w:r w:rsidR="00750CF3">
        <w:t>Booster cycle type</w:t>
      </w:r>
      <w:r w:rsidR="00A05992">
        <w:t>s</w:t>
      </w:r>
      <w:r w:rsidR="00750CF3">
        <w:t>, for each</w:t>
      </w:r>
      <w:r w:rsidR="00A05992">
        <w:t xml:space="preserve"> of </w:t>
      </w:r>
      <w:r w:rsidR="00647923">
        <w:t>as many as 24</w:t>
      </w:r>
      <w:r w:rsidR="00A05992">
        <w:t xml:space="preserve"> </w:t>
      </w:r>
      <w:r w:rsidR="00750CF3">
        <w:t>BLM channel</w:t>
      </w:r>
      <w:r w:rsidR="009D5764">
        <w:t>s</w:t>
      </w:r>
      <w:r w:rsidR="00A05992">
        <w:t xml:space="preserve"> in a crate</w:t>
      </w:r>
      <w:r w:rsidR="00750CF3">
        <w:t xml:space="preserve">.  That is 288 </w:t>
      </w:r>
      <w:r w:rsidR="009F5DBB">
        <w:t xml:space="preserve">(=12 x 24) </w:t>
      </w:r>
      <w:r w:rsidR="00750CF3">
        <w:t>of this kind of buffer</w:t>
      </w:r>
      <w:r w:rsidR="009D5764">
        <w:t xml:space="preserve"> </w:t>
      </w:r>
      <w:r w:rsidR="006B568E">
        <w:t xml:space="preserve">possible </w:t>
      </w:r>
      <w:r w:rsidR="009D5764">
        <w:t>per crate</w:t>
      </w:r>
      <w:r w:rsidR="00750CF3">
        <w:t>.</w:t>
      </w:r>
    </w:p>
    <w:p w:rsidR="00DD5E47" w:rsidRDefault="00DD5E47" w:rsidP="00DD5E47">
      <w:r>
        <w:rPr>
          <w:noProof/>
        </w:rPr>
        <w:drawing>
          <wp:inline distT="0" distB="0" distL="0" distR="0">
            <wp:extent cx="5728984" cy="3138170"/>
            <wp:effectExtent l="19050" t="0" r="5066" b="0"/>
            <wp:docPr id="16" name="Picture 13" descr="Signal Processin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 Processing4.gif"/>
                    <pic:cNvPicPr/>
                  </pic:nvPicPr>
                  <pic:blipFill>
                    <a:blip r:embed="rId12" cstate="print"/>
                    <a:stretch>
                      <a:fillRect/>
                    </a:stretch>
                  </pic:blipFill>
                  <pic:spPr>
                    <a:xfrm>
                      <a:off x="0" y="0"/>
                      <a:ext cx="5728984" cy="3138170"/>
                    </a:xfrm>
                    <a:prstGeom prst="rect">
                      <a:avLst/>
                    </a:prstGeom>
                  </pic:spPr>
                </pic:pic>
              </a:graphicData>
            </a:graphic>
          </wp:inline>
        </w:drawing>
      </w:r>
    </w:p>
    <w:p w:rsidR="00DD5E47" w:rsidRDefault="00DD5E47" w:rsidP="00DD5E47">
      <w:r>
        <w:t>Figure IV.2.1 Illustration of the 1 milli-second sums signal processing</w:t>
      </w:r>
      <w:r w:rsidR="000D103F">
        <w:t xml:space="preserve"> for each BLM</w:t>
      </w:r>
    </w:p>
    <w:p w:rsidR="00873C8D" w:rsidRDefault="00873C8D" w:rsidP="00750CF3"/>
    <w:p w:rsidR="00750CF3" w:rsidRDefault="00D97696" w:rsidP="00D97696">
      <w:pPr>
        <w:pStyle w:val="Heading2"/>
      </w:pPr>
      <w:bookmarkStart w:id="10" w:name="_Toc345660742"/>
      <w:r>
        <w:t>The</w:t>
      </w:r>
      <w:r w:rsidR="00750CF3">
        <w:t xml:space="preserve"> 100 Second Moving Sums</w:t>
      </w:r>
      <w:r w:rsidR="00EC625F">
        <w:t xml:space="preserve"> (BLMS Support)</w:t>
      </w:r>
      <w:bookmarkEnd w:id="10"/>
    </w:p>
    <w:p w:rsidR="00750CF3" w:rsidRDefault="00750CF3" w:rsidP="00750CF3">
      <w:r>
        <w:t>For each</w:t>
      </w:r>
      <w:r w:rsidR="00EC625F">
        <w:t xml:space="preserve"> of </w:t>
      </w:r>
      <w:r w:rsidR="00CC2690">
        <w:t xml:space="preserve">the </w:t>
      </w:r>
      <w:r w:rsidR="00EC625F">
        <w:t>12</w:t>
      </w:r>
      <w:r>
        <w:t xml:space="preserve"> booster cycle type</w:t>
      </w:r>
      <w:r w:rsidR="00EC625F">
        <w:t>s</w:t>
      </w:r>
      <w:r>
        <w:t>, for each BLM channel, 100 second moving sums are maintained.  The 100 second sum is the sum of 6 each</w:t>
      </w:r>
      <w:r w:rsidR="009D5764">
        <w:t>,</w:t>
      </w:r>
      <w:r>
        <w:t xml:space="preserve"> 17 second sums.  These 17 second sums are stored in a circular buffer, 6 values deep.  Each time a new 17 second sum is added to the 100 second sum, the oldest 17 second sum in the circular buffer is subtracted off.</w:t>
      </w:r>
    </w:p>
    <w:p w:rsidR="002F117A" w:rsidRDefault="002F117A" w:rsidP="002F117A">
      <w:r>
        <w:t xml:space="preserve">In order to compute the 17 second sums (which are actually 250, 15 Hz cycles), additional sum registers are maintained for </w:t>
      </w:r>
      <w:r w:rsidR="00CC2690">
        <w:t xml:space="preserve">the </w:t>
      </w:r>
      <w:r>
        <w:t xml:space="preserve">12 Booster cycle types, for each BLM channel.  When processing the data for a specific Booster cycle type the </w:t>
      </w:r>
      <w:r w:rsidR="00EF7749">
        <w:t xml:space="preserve">initial value is subtracted from the </w:t>
      </w:r>
      <w:r>
        <w:t>final value of the Full Cycle Sampled Accumulation</w:t>
      </w:r>
      <w:r w:rsidR="009E0DDB">
        <w:t xml:space="preserve"> data</w:t>
      </w:r>
      <w:r w:rsidR="00EF7749">
        <w:t>.  This</w:t>
      </w:r>
      <w:r>
        <w:t xml:space="preserve"> is added to the 17 second sum value for that specific cycle type, for the specific BLM channel.   </w:t>
      </w:r>
    </w:p>
    <w:p w:rsidR="00750CF3" w:rsidRDefault="00750CF3" w:rsidP="00750CF3">
      <w:r>
        <w:t>When a counter counting 15 Hz cycles reaches 250 (~17 seconds) the 100 second sums and their associated circular buffers are updated with the values in the 17 second sum registers.  Then the 17 second sums are reset to zero.</w:t>
      </w:r>
    </w:p>
    <w:p w:rsidR="002F117A" w:rsidRDefault="002F117A" w:rsidP="002F117A">
      <w:r>
        <w:t>Trip settings have been enabled on many of the Booster BLM's</w:t>
      </w:r>
      <w:r w:rsidR="009E0DDB">
        <w:t>, 100 second sum value</w:t>
      </w:r>
      <w:r>
        <w:t xml:space="preserve">. This has been done to limit losses in order to prevent excessive activation of the accelerator components.  The ACNET devices to which the alarms have been applied are the B:BLxxx0 </w:t>
      </w:r>
      <w:r>
        <w:lastRenderedPageBreak/>
        <w:t>devices (where xxx is a 3 letter location description). These devices contain sums of the total losses recorded on all beam resets (event 10's) during the last 100 seconds and update</w:t>
      </w:r>
      <w:r w:rsidR="00CC2690">
        <w:t>d</w:t>
      </w:r>
      <w:r>
        <w:t xml:space="preserve"> every 17 seconds</w:t>
      </w:r>
      <w:r w:rsidR="00A75989">
        <w:t>.</w:t>
      </w:r>
    </w:p>
    <w:p w:rsidR="00750CF3" w:rsidRDefault="002F117A" w:rsidP="00750CF3">
      <w:r>
        <w:t>To</w:t>
      </w:r>
      <w:r w:rsidR="00750CF3">
        <w:t xml:space="preserve"> re</w:t>
      </w:r>
      <w:r>
        <w:t>view</w:t>
      </w:r>
      <w:r w:rsidR="00750CF3">
        <w:t xml:space="preserve">, there is a 17 second </w:t>
      </w:r>
      <w:r w:rsidR="00750CF3" w:rsidRPr="002F117A">
        <w:t>sum register</w:t>
      </w:r>
      <w:r w:rsidR="00750CF3">
        <w:t xml:space="preserve"> </w:t>
      </w:r>
      <w:r w:rsidR="00750CF3" w:rsidRPr="002F117A">
        <w:rPr>
          <w:u w:val="single"/>
        </w:rPr>
        <w:t>and</w:t>
      </w:r>
      <w:r w:rsidR="00750CF3">
        <w:t xml:space="preserve"> a 6 deep </w:t>
      </w:r>
      <w:r w:rsidR="00750CF3" w:rsidRPr="002F117A">
        <w:t>circular buffer</w:t>
      </w:r>
      <w:r w:rsidR="00750CF3">
        <w:t xml:space="preserve"> of 17 second sums for each of the 12 Booster cycle type</w:t>
      </w:r>
      <w:r w:rsidR="00EC625F">
        <w:t>s</w:t>
      </w:r>
      <w:r w:rsidR="00750CF3">
        <w:t xml:space="preserve">, for each of </w:t>
      </w:r>
      <w:r w:rsidR="00647923">
        <w:t>as many as</w:t>
      </w:r>
      <w:r w:rsidR="00750CF3">
        <w:t xml:space="preserve"> 24 BLM channels.</w:t>
      </w:r>
      <w:r w:rsidR="00C22386">
        <w:t xml:space="preserve">  That’s as many as 288</w:t>
      </w:r>
      <w:r w:rsidR="0017233C">
        <w:t>, 17 second sum registers and circular buffers.</w:t>
      </w:r>
    </w:p>
    <w:p w:rsidR="00750CF3" w:rsidRDefault="00750CF3" w:rsidP="00750CF3">
      <w:r>
        <w:t xml:space="preserve">In addition to maintaining these 100 second moving beam loss values, a 100 second moving count of the occurrence of </w:t>
      </w:r>
      <w:r w:rsidR="00CC2690">
        <w:t xml:space="preserve">each of </w:t>
      </w:r>
      <w:r>
        <w:t xml:space="preserve">the specific Booster </w:t>
      </w:r>
      <w:r w:rsidRPr="00CC2690">
        <w:rPr>
          <w:u w:val="single"/>
        </w:rPr>
        <w:t>reset events</w:t>
      </w:r>
      <w:r>
        <w:t xml:space="preserve"> (those triggers which initiate the different Booster cycle types) </w:t>
      </w:r>
      <w:r w:rsidR="00CC2690">
        <w:t>is</w:t>
      </w:r>
      <w:r>
        <w:t xml:space="preserve"> maintained.  These are also updated by maintaining 17 second counts of the Booster </w:t>
      </w:r>
      <w:r w:rsidRPr="00CC2690">
        <w:rPr>
          <w:u w:val="single"/>
        </w:rPr>
        <w:t>reset events</w:t>
      </w:r>
      <w:r>
        <w:t xml:space="preserve"> and 6 deep circular buffers of the 17 second counts.  In this case there are only 12 sets of counts and circular buffers.  One set for each Booster reset event.</w:t>
      </w:r>
    </w:p>
    <w:p w:rsidR="000A65EC" w:rsidRDefault="000A65EC" w:rsidP="00750CF3"/>
    <w:p w:rsidR="00751330" w:rsidRDefault="00751330" w:rsidP="00751330">
      <w:pPr>
        <w:jc w:val="center"/>
      </w:pPr>
      <w:r w:rsidRPr="00D435B7">
        <w:rPr>
          <w:noProof/>
        </w:rPr>
        <w:drawing>
          <wp:inline distT="0" distB="0" distL="0" distR="0">
            <wp:extent cx="5932742" cy="2528316"/>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tretch>
                      <a:fillRect/>
                    </a:stretch>
                  </pic:blipFill>
                  <pic:spPr bwMode="auto">
                    <a:xfrm>
                      <a:off x="0" y="0"/>
                      <a:ext cx="5932742" cy="2528316"/>
                    </a:xfrm>
                    <a:prstGeom prst="rect">
                      <a:avLst/>
                    </a:prstGeom>
                    <a:solidFill>
                      <a:srgbClr val="FFFFFF"/>
                    </a:solidFill>
                    <a:ln w="9525">
                      <a:noFill/>
                      <a:miter lim="800000"/>
                      <a:headEnd/>
                      <a:tailEnd/>
                    </a:ln>
                  </pic:spPr>
                </pic:pic>
              </a:graphicData>
            </a:graphic>
          </wp:inline>
        </w:drawing>
      </w:r>
    </w:p>
    <w:p w:rsidR="00751330" w:rsidRPr="00303384" w:rsidRDefault="00751330" w:rsidP="00751330">
      <w:r>
        <w:t>Figure I</w:t>
      </w:r>
      <w:r w:rsidR="000A65EC">
        <w:t>V.4</w:t>
      </w:r>
      <w:r>
        <w:t>.</w:t>
      </w:r>
      <w:r w:rsidR="00DD5E47">
        <w:t>1</w:t>
      </w:r>
      <w:r>
        <w:t xml:space="preserve"> Illustration of the 100 </w:t>
      </w:r>
      <w:r w:rsidR="000A65EC">
        <w:t>s</w:t>
      </w:r>
      <w:r>
        <w:t xml:space="preserve">econd </w:t>
      </w:r>
      <w:r w:rsidR="000A65EC">
        <w:t>m</w:t>
      </w:r>
      <w:r>
        <w:t xml:space="preserve">oving </w:t>
      </w:r>
      <w:r w:rsidR="000A65EC">
        <w:t>s</w:t>
      </w:r>
      <w:r>
        <w:t>um</w:t>
      </w:r>
      <w:r w:rsidR="000A65EC">
        <w:t>s</w:t>
      </w:r>
      <w:r>
        <w:t xml:space="preserve"> </w:t>
      </w:r>
      <w:r w:rsidR="000A65EC">
        <w:t>signal processing</w:t>
      </w:r>
    </w:p>
    <w:p w:rsidR="000A65EC" w:rsidRDefault="000A65EC" w:rsidP="00750CF3"/>
    <w:p w:rsidR="00750CF3" w:rsidRDefault="00750CF3" w:rsidP="00EC625F">
      <w:pPr>
        <w:pStyle w:val="Heading2"/>
      </w:pPr>
      <w:bookmarkStart w:id="11" w:name="_Toc345660743"/>
      <w:r>
        <w:t>The 7.5 Hz Waveform Buffers</w:t>
      </w:r>
      <w:r w:rsidR="000A65EC">
        <w:t xml:space="preserve"> (RETDAT Support)</w:t>
      </w:r>
      <w:bookmarkEnd w:id="11"/>
    </w:p>
    <w:p w:rsidR="00750CF3" w:rsidRDefault="00750CF3" w:rsidP="00750CF3">
      <w:r>
        <w:t xml:space="preserve">Requests may be made from ACNET applications to receive data for a specific set of channels on the BLM front-end processor at a 7.5 Hz update rate.  Since the Booster cycles at a 15 Hz rate, two cycles worth of data are returned at the 7.5 Hz rate.  The data returned is for the specified channel with no distinction with regard to the type of Booster cycle the data was collected over or whether there was even beam in the Booster during the interval.  In addition to BLM data channels, there are channels that report the specific Booster reset events that may or may not have occurred over the last 133 ms (inverse of 7.5 Hz).  Also along with the data is </w:t>
      </w:r>
      <w:r>
        <w:lastRenderedPageBreak/>
        <w:t xml:space="preserve">included the specific “cycle counts” for the two cycles of data in the update response.  The cycle count information can be </w:t>
      </w:r>
      <w:r w:rsidR="00924D0D">
        <w:t>used</w:t>
      </w:r>
      <w:r>
        <w:t xml:space="preserve"> to correlate the Booster reset event information with the data taken during the cycle the reset event triggered.</w:t>
      </w:r>
    </w:p>
    <w:p w:rsidR="00750CF3" w:rsidRDefault="00750CF3" w:rsidP="00750CF3">
      <w:r>
        <w:t>The BLM channel data will be the 500 point Full Cycle Sampled Accumulation waveform.  For each BLM channel, 2 of these waveforms are transmitted to the requesting ACNET application every 133 ms.</w:t>
      </w:r>
    </w:p>
    <w:p w:rsidR="003C332F" w:rsidRDefault="003C332F" w:rsidP="003C332F">
      <w:pPr>
        <w:pStyle w:val="Heading1"/>
      </w:pPr>
      <w:bookmarkStart w:id="12" w:name="_Toc345660744"/>
      <w:r>
        <w:t>BLM Digitizer Calibration</w:t>
      </w:r>
      <w:bookmarkEnd w:id="12"/>
    </w:p>
    <w:p w:rsidR="003C332F" w:rsidRPr="00895F08" w:rsidRDefault="003C332F" w:rsidP="003C332F">
      <w:pPr>
        <w:pStyle w:val="Heading2"/>
      </w:pPr>
      <w:bookmarkStart w:id="13" w:name="_Toc345660745"/>
      <w:r>
        <w:t>Scaling for the New Integrator</w:t>
      </w:r>
      <w:bookmarkEnd w:id="13"/>
    </w:p>
    <w:p w:rsidR="003C332F" w:rsidRDefault="003C332F" w:rsidP="003C332F">
      <w:pPr>
        <w:tabs>
          <w:tab w:val="left" w:pos="720"/>
        </w:tabs>
        <w:suppressAutoHyphens/>
        <w:spacing w:after="240" w:line="240" w:lineRule="auto"/>
        <w:rPr>
          <w:rFonts w:cs="Arial"/>
        </w:rPr>
      </w:pPr>
      <w:r>
        <w:rPr>
          <w:rFonts w:cs="Arial"/>
        </w:rPr>
        <w:t>The combination of integrators and analog to digital conversion, results in a conversion between Coulombs of charge in and the resulting 16 bit digitized result</w:t>
      </w:r>
      <w:r w:rsidR="00C00718">
        <w:rPr>
          <w:rFonts w:cs="Arial"/>
        </w:rPr>
        <w:t xml:space="preserve"> out</w:t>
      </w:r>
      <w:r>
        <w:rPr>
          <w:rFonts w:cs="Arial"/>
        </w:rPr>
        <w:t xml:space="preserve">.  In the default Low Range mode the integration opamp contains a 100 pico-farad feedback capacitor.  This produces a voltage out of the integration opamp of (1/100E-12) (volts/coulomb).  The integrator output is </w:t>
      </w:r>
      <w:r w:rsidR="006D564D">
        <w:rPr>
          <w:rFonts w:cs="Arial"/>
        </w:rPr>
        <w:t xml:space="preserve">then </w:t>
      </w:r>
      <w:r>
        <w:rPr>
          <w:rFonts w:cs="Arial"/>
        </w:rPr>
        <w:t xml:space="preserve">scaled to fit the input range of the ADC digitizer, 0.483 (volts/volt).  </w:t>
      </w:r>
    </w:p>
    <w:p w:rsidR="003C332F" w:rsidRDefault="003C332F" w:rsidP="003C332F">
      <w:pPr>
        <w:tabs>
          <w:tab w:val="left" w:pos="720"/>
        </w:tabs>
        <w:suppressAutoHyphens/>
        <w:spacing w:after="240" w:line="240" w:lineRule="auto"/>
        <w:rPr>
          <w:rFonts w:cs="Arial"/>
        </w:rPr>
      </w:pPr>
      <w:r>
        <w:rPr>
          <w:rFonts w:cs="Arial"/>
        </w:rPr>
        <w:t>The integrator output voltage digitized each 20 μs sampling interval is the sum of the charge collected in the previous 20 μs interval.  Note that the final sampling interval we will end up with is 80 μs.  The voltage at the input to the analog to digital converter is</w:t>
      </w:r>
    </w:p>
    <w:p w:rsidR="003C332F" w:rsidRDefault="005278F1"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 xml:space="preserve"> </m:t>
          </m:r>
          <m:nary>
            <m:naryPr>
              <m:limLoc m:val="undOvr"/>
              <m:ctrlPr>
                <w:rPr>
                  <w:rFonts w:ascii="Cambria Math" w:hAnsi="Cambria Math" w:cs="Arial"/>
                  <w:i/>
                </w:rPr>
              </m:ctrlPr>
            </m:naryPr>
            <m:sub>
              <m:r>
                <w:rPr>
                  <w:rFonts w:ascii="Cambria Math" w:hAnsi="Cambria Math" w:cs="Arial"/>
                </w:rPr>
                <m:t>t</m:t>
              </m:r>
            </m:sub>
            <m:sup>
              <m:r>
                <w:rPr>
                  <w:rFonts w:ascii="Cambria Math" w:hAnsi="Cambria Math" w:cs="Arial"/>
                </w:rPr>
                <m:t>t+</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xml:space="preserve">,  where T= </m:t>
          </m:r>
          <m:r>
            <m:rPr>
              <m:sty m:val="p"/>
            </m:rPr>
            <w:rPr>
              <w:rFonts w:ascii="Cambria Math" w:hAnsi="Cambria Math" w:cs="Arial"/>
            </w:rPr>
            <m:t>80 μs</m:t>
          </m:r>
        </m:oMath>
      </m:oMathPara>
    </w:p>
    <w:p w:rsidR="003C332F" w:rsidRDefault="003C332F" w:rsidP="003C332F">
      <w:pPr>
        <w:tabs>
          <w:tab w:val="left" w:pos="720"/>
        </w:tabs>
        <w:suppressAutoHyphens/>
        <w:spacing w:after="240" w:line="240" w:lineRule="auto"/>
        <w:rPr>
          <w:rFonts w:eastAsiaTheme="minorEastAsia" w:cs="Arial"/>
        </w:rPr>
      </w:pPr>
      <w:r>
        <w:rPr>
          <w:rFonts w:cs="Arial"/>
        </w:rPr>
        <w:t xml:space="preserve">Let us represent the </w:t>
      </w:r>
      <m:oMath>
        <m:sSub>
          <m:sSubPr>
            <m:ctrlPr>
              <w:rPr>
                <w:rFonts w:ascii="Cambria Math" w:hAnsi="Cambria Math" w:cs="Arial"/>
                <w:i/>
                <w:sz w:val="28"/>
              </w:rPr>
            </m:ctrlPr>
          </m:sSubPr>
          <m:e>
            <m:r>
              <w:rPr>
                <w:rFonts w:ascii="Cambria Math" w:hAnsi="Cambria Math" w:cs="Arial"/>
                <w:sz w:val="28"/>
              </w:rPr>
              <m:t>k</m:t>
            </m:r>
          </m:e>
          <m:sub>
            <m:r>
              <w:rPr>
                <w:rFonts w:ascii="Cambria Math" w:hAnsi="Cambria Math" w:cs="Arial"/>
                <w:sz w:val="28"/>
              </w:rPr>
              <m:t>th</m:t>
            </m:r>
          </m:sub>
        </m:sSub>
      </m:oMath>
      <w:r>
        <w:rPr>
          <w:rFonts w:eastAsiaTheme="minorEastAsia" w:cs="Arial"/>
          <w:sz w:val="28"/>
        </w:rPr>
        <w:t xml:space="preserve"> </w:t>
      </w:r>
      <w:r>
        <w:rPr>
          <w:rFonts w:cs="Arial"/>
        </w:rPr>
        <w:t>digitized 20 μs integration sample as</w:t>
      </w:r>
      <m:oMath>
        <m:r>
          <w:rPr>
            <w:rFonts w:ascii="Cambria Math" w:hAnsi="Cambria Math" w:cs="Arial"/>
          </w:rPr>
          <m:t xml:space="preserve"> </m:t>
        </m:r>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w:r>
        <w:rPr>
          <w:rFonts w:eastAsiaTheme="minorEastAsia" w:cs="Arial"/>
        </w:rPr>
        <w:t>.  The digitizer outputs a 16 bit value and has an input voltage range of 5 volts.</w:t>
      </w:r>
    </w:p>
    <w:p w:rsidR="003C332F" w:rsidRDefault="005278F1"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m:oMathPara>
    </w:p>
    <w:p w:rsidR="003C332F" w:rsidRDefault="003C332F" w:rsidP="003C332F">
      <w:pPr>
        <w:tabs>
          <w:tab w:val="left" w:pos="720"/>
        </w:tabs>
        <w:suppressAutoHyphens/>
        <w:spacing w:after="240" w:line="240" w:lineRule="auto"/>
        <w:rPr>
          <w:rFonts w:cs="Arial"/>
        </w:rPr>
      </w:pPr>
      <w:r>
        <w:rPr>
          <w:rFonts w:cs="Arial"/>
        </w:rPr>
        <w:t>The digitized value written to FIFO memory on the digitizer module, and read by the front-end processor, is the average of 4 of these 20 μs integration samples.  These can also be described as scaled 80 μs integration samples.</w:t>
      </w:r>
    </w:p>
    <w:p w:rsidR="003C332F" w:rsidRPr="000C15E9" w:rsidRDefault="005278F1"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2∙k∙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3∙k∙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e>
          </m:d>
        </m:oMath>
      </m:oMathPara>
    </w:p>
    <w:p w:rsidR="003C332F" w:rsidRDefault="005278F1"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d>
            <m:dPr>
              <m:begChr m:val="["/>
              <m:endChr m:val="]"/>
              <m:ctrlPr>
                <w:rPr>
                  <w:rFonts w:ascii="Cambria Math" w:hAnsi="Cambria Math" w:cs="Arial"/>
                  <w:i/>
                </w:rPr>
              </m:ctrlPr>
            </m:dPr>
            <m:e>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e>
          </m:d>
        </m:oMath>
      </m:oMathPara>
    </w:p>
    <w:p w:rsidR="003C332F" w:rsidRDefault="005278F1" w:rsidP="003C332F">
      <w:pPr>
        <w:tabs>
          <w:tab w:val="left" w:pos="720"/>
        </w:tabs>
        <w:suppressAutoHyphens/>
        <w:spacing w:after="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where k=1, 2, 3, ⋯, 500.</m:t>
          </m:r>
        </m:oMath>
      </m:oMathPara>
    </w:p>
    <w:p w:rsidR="003C332F" w:rsidRDefault="003C332F" w:rsidP="003C332F">
      <w:pPr>
        <w:tabs>
          <w:tab w:val="left" w:pos="720"/>
        </w:tabs>
        <w:suppressAutoHyphens/>
        <w:spacing w:after="0" w:line="240" w:lineRule="auto"/>
        <w:rPr>
          <w:rFonts w:eastAsiaTheme="minorEastAsia" w:cs="Arial"/>
        </w:rPr>
      </w:pPr>
      <w:r>
        <w:rPr>
          <w:rFonts w:eastAsiaTheme="minorEastAsia" w:cs="Arial"/>
        </w:rPr>
        <w:t xml:space="preserve">where  </w:t>
      </w:r>
    </w:p>
    <w:p w:rsidR="00082B59" w:rsidRDefault="005278F1">
      <w:pPr>
        <w:pBdr>
          <w:top w:val="single" w:sz="4" w:space="1" w:color="auto"/>
          <w:left w:val="single" w:sz="4" w:space="4" w:color="auto"/>
          <w:bottom w:val="single" w:sz="4" w:space="1" w:color="auto"/>
          <w:right w:val="single" w:sz="4" w:space="4" w:color="auto"/>
        </w:pBdr>
        <w:tabs>
          <w:tab w:val="left" w:pos="720"/>
        </w:tabs>
        <w:suppressAutoHyphens/>
        <w:spacing w:before="120"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1</m:t>
              </m:r>
            </m:sub>
          </m:sSub>
          <m:r>
            <w:rPr>
              <w:rFonts w:ascii="Cambria Math" w:eastAsiaTheme="minorEastAsia"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 xml:space="preserve">=15.8171E12 </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Bits</m:t>
                  </m:r>
                </m:num>
                <m:den>
                  <m:r>
                    <w:rPr>
                      <w:rFonts w:ascii="Cambria Math" w:hAnsi="Cambria Math" w:cs="Arial"/>
                    </w:rPr>
                    <m:t>Coulomb</m:t>
                  </m:r>
                </m:den>
              </m:f>
            </m:e>
          </m:d>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 xml:space="preserve">The </w:t>
      </w:r>
      <w:r w:rsidR="00470E0F">
        <w:rPr>
          <w:rFonts w:eastAsiaTheme="minorEastAsia" w:cs="Arial"/>
        </w:rPr>
        <w:t>Full Cycle Sampled Accumulation</w:t>
      </w:r>
      <w:r>
        <w:rPr>
          <w:rFonts w:eastAsiaTheme="minorEastAsia" w:cs="Arial"/>
        </w:rPr>
        <w:t xml:space="preserve"> </w:t>
      </w:r>
      <w:r w:rsidR="00470E0F">
        <w:rPr>
          <w:rFonts w:eastAsiaTheme="minorEastAsia" w:cs="Arial"/>
        </w:rPr>
        <w:t>is</w:t>
      </w:r>
      <w:r>
        <w:rPr>
          <w:rFonts w:eastAsiaTheme="minorEastAsia" w:cs="Arial"/>
        </w:rPr>
        <w:t xml:space="preserve"> a </w:t>
      </w:r>
      <w:r w:rsidR="00470E0F">
        <w:rPr>
          <w:rFonts w:eastAsiaTheme="minorEastAsia" w:cs="Arial"/>
        </w:rPr>
        <w:t>summing</w:t>
      </w:r>
      <w:r>
        <w:rPr>
          <w:rFonts w:eastAsiaTheme="minorEastAsia" w:cs="Arial"/>
        </w:rPr>
        <w:t xml:space="preserve"> of the 80 </w:t>
      </w:r>
      <w:r>
        <w:rPr>
          <w:rFonts w:cs="Arial"/>
        </w:rPr>
        <w:t xml:space="preserve">μs integration samples, </w:t>
      </w:r>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r>
          <w:rPr>
            <w:rFonts w:ascii="Cambria Math" w:hAnsi="Cambria Math" w:cs="Arial"/>
          </w:rPr>
          <m:t>.</m:t>
        </m:r>
      </m:oMath>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=S</m:t>
          </m:r>
          <m:d>
            <m:dPr>
              <m:ctrlPr>
                <w:rPr>
                  <w:rFonts w:ascii="Cambria Math" w:hAnsi="Cambria Math" w:cs="Arial"/>
                  <w:i/>
                </w:rPr>
              </m:ctrlPr>
            </m:dPr>
            <m:e>
              <m:d>
                <m:dPr>
                  <m:ctrlPr>
                    <w:rPr>
                      <w:rFonts w:ascii="Cambria Math" w:hAnsi="Cambria Math" w:cs="Arial"/>
                      <w:i/>
                    </w:rPr>
                  </m:ctrlPr>
                </m:dPr>
                <m:e>
                  <m:r>
                    <w:rPr>
                      <w:rFonts w:ascii="Cambria Math" w:hAnsi="Cambria Math" w:cs="Arial"/>
                    </w:rPr>
                    <m:t>k-1</m:t>
                  </m:r>
                </m:e>
              </m:d>
              <m:r>
                <w:rPr>
                  <w:rFonts w:ascii="Cambria Math" w:hAnsi="Cambria Math" w:cs="Arial"/>
                </w:rPr>
                <m:t>∙T</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1</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2</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3</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oMath>
      </m:oMathPara>
    </w:p>
    <w:p w:rsidR="003C332F" w:rsidRPr="00BB6B0D"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r>
                <w:rPr>
                  <w:rFonts w:ascii="Cambria Math" w:hAnsi="Cambria Math" w:cs="Arial"/>
                </w:rPr>
                <m:t>0</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oMath>
      </m:oMathPara>
    </w:p>
    <w:p w:rsidR="000D103F" w:rsidRDefault="008C3B3D" w:rsidP="000D103F">
      <w:pPr>
        <w:tabs>
          <w:tab w:val="left" w:pos="720"/>
        </w:tabs>
        <w:suppressAutoHyphens/>
        <w:spacing w:after="0" w:line="240" w:lineRule="auto"/>
        <w:rPr>
          <w:rFonts w:eastAsiaTheme="minorEastAsia" w:cs="Arial"/>
        </w:rPr>
      </w:pPr>
      <w:r>
        <w:rPr>
          <w:rFonts w:eastAsiaTheme="minorEastAsia" w:cs="Arial"/>
        </w:rPr>
        <w:t>S(k) is a digital value of the sum of charge in coulombs produced by the Loss Monitor ion chamber.  To convert this to Rads we use the standard calibration of the ion chamber</w:t>
      </w:r>
      <w:r w:rsidR="000D103F">
        <w:rPr>
          <w:rFonts w:eastAsiaTheme="minorEastAsia" w:cs="Arial"/>
        </w:rPr>
        <w:t>,</w:t>
      </w:r>
    </w:p>
    <w:p w:rsidR="003C332F" w:rsidRDefault="000D103F" w:rsidP="000D103F">
      <w:pPr>
        <w:tabs>
          <w:tab w:val="left" w:pos="720"/>
        </w:tabs>
        <w:suppressAutoHyphens/>
        <w:spacing w:after="100" w:afterAutospacing="1" w:line="240" w:lineRule="auto"/>
        <w:rPr>
          <w:rFonts w:eastAsiaTheme="minorEastAsia" w:cs="Arial"/>
        </w:rPr>
      </w:pPr>
      <m:oMath>
        <m:r>
          <w:rPr>
            <w:rFonts w:ascii="Cambria Math" w:eastAsiaTheme="minorEastAsia" w:hAnsi="Cambria Math" w:cs="Arial"/>
          </w:rPr>
          <m:t xml:space="preserve"> 70E-9 Coulombs/Rad</m:t>
        </m:r>
      </m:oMath>
      <w:r w:rsidR="008C3B3D">
        <w:rPr>
          <w:rFonts w:eastAsiaTheme="minorEastAsia" w:cs="Arial"/>
        </w:rPr>
        <w:t>.</w:t>
      </w:r>
    </w:p>
    <w:p w:rsidR="008C3B3D" w:rsidRPr="008C3B3D" w:rsidRDefault="008C3B3D" w:rsidP="003C332F">
      <w:pPr>
        <w:tabs>
          <w:tab w:val="left" w:pos="720"/>
        </w:tabs>
        <w:suppressAutoHyphens/>
        <w:spacing w:after="240" w:line="240" w:lineRule="auto"/>
        <w:rPr>
          <w:rFonts w:eastAsiaTheme="minorEastAsia" w:cs="Arial"/>
        </w:rPr>
      </w:pPr>
      <m:oMathPara>
        <m:oMath>
          <m:r>
            <w:rPr>
              <w:rFonts w:ascii="Cambria Math" w:eastAsiaTheme="minorEastAsia" w:hAnsi="Cambria Math" w:cs="Arial"/>
            </w:rPr>
            <m:t>Rads∙</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 xml:space="preserve">,  </m:t>
          </m:r>
        </m:oMath>
      </m:oMathPara>
    </w:p>
    <w:p w:rsidR="008C3B3D" w:rsidRDefault="008C3B3D" w:rsidP="003C332F">
      <w:pPr>
        <w:tabs>
          <w:tab w:val="left" w:pos="720"/>
        </w:tabs>
        <w:suppressAutoHyphens/>
        <w:spacing w:after="240" w:line="240" w:lineRule="auto"/>
        <w:rPr>
          <w:rFonts w:eastAsiaTheme="minorEastAsia" w:cs="Arial"/>
        </w:rPr>
      </w:pPr>
      <m:oMathPara>
        <m:oMath>
          <m:r>
            <w:rPr>
              <w:rFonts w:ascii="Cambria Math" w:eastAsiaTheme="minorEastAsia" w:hAnsi="Cambria Math" w:cs="Arial"/>
            </w:rPr>
            <m:t xml:space="preserve">where </m:t>
          </m:r>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m:t>
          </m:r>
          <m:sSup>
            <m:sSupPr>
              <m:ctrlPr>
                <w:rPr>
                  <w:rFonts w:ascii="Cambria Math" w:eastAsiaTheme="minorEastAsia" w:hAnsi="Cambria Math" w:cs="Arial"/>
                  <w:i/>
                </w:rPr>
              </m:ctrlPr>
            </m:sSupPr>
            <m:e>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1</m:t>
                      </m:r>
                    </m:sub>
                  </m:sSub>
                  <m:r>
                    <w:rPr>
                      <w:rFonts w:ascii="Cambria Math" w:eastAsiaTheme="minorEastAsia" w:hAnsi="Cambria Math" w:cs="Arial"/>
                    </w:rPr>
                    <m:t>∙70E-9</m:t>
                  </m:r>
                </m:e>
              </m:d>
            </m:e>
            <m:sup>
              <m:r>
                <w:rPr>
                  <w:rFonts w:ascii="Cambria Math" w:eastAsiaTheme="minorEastAsia" w:hAnsi="Cambria Math" w:cs="Arial"/>
                </w:rPr>
                <m:t>-1</m:t>
              </m:r>
            </m:sup>
          </m:sSup>
          <m:r>
            <w:rPr>
              <w:rFonts w:ascii="Cambria Math" w:eastAsiaTheme="minorEastAsia" w:hAnsi="Cambria Math" w:cs="Arial"/>
            </w:rPr>
            <m:t>=903.182E-9</m:t>
          </m:r>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Rads</m:t>
                  </m:r>
                </m:num>
                <m:den>
                  <m:r>
                    <w:rPr>
                      <w:rFonts w:ascii="Cambria Math" w:eastAsiaTheme="minorEastAsia" w:hAnsi="Cambria Math" w:cs="Arial"/>
                    </w:rPr>
                    <m:t>Bit</m:t>
                  </m:r>
                </m:den>
              </m:f>
            </m:e>
          </m:d>
        </m:oMath>
      </m:oMathPara>
    </w:p>
    <w:p w:rsidR="008C3B3D" w:rsidRDefault="008C3B3D" w:rsidP="003C332F">
      <w:pPr>
        <w:tabs>
          <w:tab w:val="left" w:pos="720"/>
        </w:tabs>
        <w:suppressAutoHyphens/>
        <w:spacing w:after="240" w:line="240" w:lineRule="auto"/>
        <w:rPr>
          <w:rFonts w:eastAsiaTheme="minorEastAsia" w:cs="Arial"/>
        </w:rPr>
      </w:pPr>
      <w:r>
        <w:rPr>
          <w:rFonts w:eastAsiaTheme="minorEastAsia" w:cs="Arial"/>
        </w:rPr>
        <w:t>For the sake of faster computation within the crate processor</w:t>
      </w:r>
      <w:r w:rsidR="00285AA3">
        <w:rPr>
          <w:rFonts w:eastAsiaTheme="minorEastAsia" w:cs="Arial"/>
        </w:rPr>
        <w:t xml:space="preserve"> we approximate </w:t>
      </w:r>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oMath>
      <w:r w:rsidR="00285AA3">
        <w:rPr>
          <w:rFonts w:eastAsiaTheme="minorEastAsia" w:cs="Arial"/>
        </w:rPr>
        <w:t xml:space="preserve"> as</w:t>
      </w:r>
    </w:p>
    <w:p w:rsidR="00285AA3" w:rsidRDefault="005278F1" w:rsidP="003C332F">
      <w:pPr>
        <w:tabs>
          <w:tab w:val="left" w:pos="720"/>
        </w:tabs>
        <w:suppressAutoHyphens/>
        <w:spacing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15</m:t>
              </m:r>
            </m:num>
            <m:den>
              <m:sSup>
                <m:sSupPr>
                  <m:ctrlPr>
                    <w:rPr>
                      <w:rFonts w:ascii="Cambria Math" w:eastAsiaTheme="minorEastAsia" w:hAnsi="Cambria Math" w:cs="Arial"/>
                      <w:i/>
                    </w:rPr>
                  </m:ctrlPr>
                </m:sSupPr>
                <m:e>
                  <m:r>
                    <w:rPr>
                      <w:rFonts w:ascii="Cambria Math" w:eastAsiaTheme="minorEastAsia" w:hAnsi="Cambria Math" w:cs="Arial"/>
                    </w:rPr>
                    <m:t>2</m:t>
                  </m:r>
                </m:e>
                <m:sup>
                  <m:r>
                    <w:rPr>
                      <w:rFonts w:ascii="Cambria Math" w:eastAsiaTheme="minorEastAsia" w:hAnsi="Cambria Math" w:cs="Arial"/>
                    </w:rPr>
                    <m:t>12</m:t>
                  </m:r>
                </m:sup>
              </m:sSup>
            </m:den>
          </m:f>
          <m:r>
            <w:rPr>
              <w:rFonts w:ascii="Cambria Math" w:eastAsiaTheme="minorEastAsia" w:hAnsi="Cambria Math" w:cs="Arial"/>
            </w:rPr>
            <m:t>=915.527E-9∙(x4000)</m:t>
          </m:r>
        </m:oMath>
      </m:oMathPara>
    </w:p>
    <w:p w:rsidR="008C3B3D" w:rsidRDefault="002E08C4" w:rsidP="002E08C4">
      <w:pPr>
        <w:pStyle w:val="Heading2"/>
        <w:rPr>
          <w:rFonts w:eastAsiaTheme="minorEastAsia"/>
        </w:rPr>
      </w:pPr>
      <w:bookmarkStart w:id="14" w:name="_Toc345660746"/>
      <w:r>
        <w:rPr>
          <w:rFonts w:eastAsiaTheme="minorEastAsia"/>
        </w:rPr>
        <w:t>Justification for Using 16 bit Integer Values for Booster Losses</w:t>
      </w:r>
      <w:bookmarkEnd w:id="14"/>
    </w:p>
    <w:p w:rsidR="002E08C4" w:rsidRDefault="002E08C4" w:rsidP="003C332F">
      <w:pPr>
        <w:tabs>
          <w:tab w:val="left" w:pos="720"/>
        </w:tabs>
        <w:suppressAutoHyphens/>
        <w:spacing w:after="240" w:line="240" w:lineRule="auto"/>
        <w:rPr>
          <w:rFonts w:eastAsiaTheme="minorEastAsia" w:cs="Arial"/>
        </w:rPr>
      </w:pPr>
      <w:r>
        <w:rPr>
          <w:rFonts w:eastAsiaTheme="minorEastAsia" w:cs="Arial"/>
        </w:rPr>
        <w:t>The BLM Log Integrator circuits being replaced provided a wide dynamic range which was necessary when they were first being used for monitoring losses in the Tevatron and the Booster in the early days.  One size fit all and the digitized values fit within a 16 bit range once digitized.  The new integrators are linear and cannot be used over as large a range of inputs, without some tricks, and still fit into a 16 bit digitized word.  There was some early discussion on going to a 32 bit word to represent the integrated sum of charge, but the software infrastructure would be expensive to replace.</w:t>
      </w:r>
    </w:p>
    <w:p w:rsidR="002E08C4" w:rsidRDefault="002E08C4" w:rsidP="003C332F">
      <w:pPr>
        <w:tabs>
          <w:tab w:val="left" w:pos="720"/>
        </w:tabs>
        <w:suppressAutoHyphens/>
        <w:spacing w:after="240" w:line="240" w:lineRule="auto"/>
        <w:rPr>
          <w:rFonts w:eastAsiaTheme="minorEastAsia" w:cs="Arial"/>
        </w:rPr>
      </w:pPr>
      <w:r>
        <w:rPr>
          <w:rFonts w:eastAsiaTheme="minorEastAsia" w:cs="Arial"/>
        </w:rPr>
        <w:t>After some careful consideration and calculation it was determined that the range of a 16 bit word for the “Full Cycle Sampled Accumulation” data would have both sufficient resolution and dynamic range.</w:t>
      </w:r>
      <w:r w:rsidR="005278F1">
        <w:rPr>
          <w:rFonts w:eastAsiaTheme="minorEastAsia" w:cs="Arial"/>
        </w:rPr>
        <w:t xml:space="preserve">  </w:t>
      </w:r>
      <w:bookmarkStart w:id="15" w:name="_GoBack"/>
      <w:bookmarkEnd w:id="15"/>
    </w:p>
    <w:p w:rsidR="00A942FC" w:rsidRDefault="00843F46" w:rsidP="00843F46">
      <w:pPr>
        <w:pStyle w:val="Heading1"/>
        <w:rPr>
          <w:rFonts w:eastAsiaTheme="minorEastAsia"/>
        </w:rPr>
      </w:pPr>
      <w:bookmarkStart w:id="16" w:name="_Toc345660747"/>
      <w:r>
        <w:rPr>
          <w:rFonts w:eastAsiaTheme="minorEastAsia"/>
        </w:rPr>
        <w:lastRenderedPageBreak/>
        <w:t>Changes for the Operator</w:t>
      </w:r>
      <w:bookmarkEnd w:id="16"/>
    </w:p>
    <w:p w:rsidR="00843F46" w:rsidRDefault="00843F46" w:rsidP="003C332F">
      <w:pPr>
        <w:tabs>
          <w:tab w:val="left" w:pos="720"/>
        </w:tabs>
        <w:suppressAutoHyphens/>
        <w:spacing w:after="240" w:line="240" w:lineRule="auto"/>
        <w:rPr>
          <w:rFonts w:eastAsiaTheme="minorEastAsia" w:cs="Arial"/>
        </w:rPr>
      </w:pPr>
      <w:r>
        <w:rPr>
          <w:rFonts w:eastAsiaTheme="minorEastAsia" w:cs="Arial"/>
        </w:rPr>
        <w:t xml:space="preserve">The scaling of the values seen by the operators monitoring the beam losses in the booster is different using Rads versus the previous Rads/Second.  A significant effort was undertaken to determine the scaling of the Log Integrators before they were replaced.  The goal was to be able to predict the changes to the BLM values read and plotted. </w:t>
      </w: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t>In order to ensure that we understood the calibration of each of the Log Integrators we performed input/output calibration measurements on each one.  The calibration involves injecting a known charge profile into the Log Integrator and measuring the voltage output.  Figure VI.1 shows a sample plot of the results with a fit to the equation</w:t>
      </w:r>
    </w:p>
    <w:p w:rsidR="00843F46" w:rsidRDefault="005278F1" w:rsidP="00843F46">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843F46" w:rsidRDefault="00843F46" w:rsidP="00843F46">
      <w:pPr>
        <w:tabs>
          <w:tab w:val="left" w:pos="720"/>
        </w:tabs>
        <w:suppressAutoHyphens/>
        <w:spacing w:after="240" w:line="240" w:lineRule="auto"/>
        <w:rPr>
          <w:rFonts w:eastAsiaTheme="minorEastAsia" w:cs="Arial"/>
        </w:rPr>
      </w:pPr>
      <w:r>
        <w:rPr>
          <w:rFonts w:eastAsiaTheme="minorEastAsia" w:cs="Arial"/>
          <w:noProof/>
        </w:rPr>
        <w:drawing>
          <wp:inline distT="0" distB="0" distL="0" distR="0">
            <wp:extent cx="5135270" cy="3719779"/>
            <wp:effectExtent l="19050" t="0" r="8230" b="0"/>
            <wp:docPr id="3" name="Picture 4"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4" cstate="print"/>
                    <a:srcRect t="5333" r="6400" b="4267"/>
                    <a:stretch>
                      <a:fillRect/>
                    </a:stretch>
                  </pic:blipFill>
                  <pic:spPr>
                    <a:xfrm>
                      <a:off x="0" y="0"/>
                      <a:ext cx="5135270" cy="3719779"/>
                    </a:xfrm>
                    <a:prstGeom prst="rect">
                      <a:avLst/>
                    </a:prstGeom>
                  </pic:spPr>
                </pic:pic>
              </a:graphicData>
            </a:graphic>
          </wp:inline>
        </w:drawing>
      </w: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t>Figure VI.1 Log Integrator voltage out versus charge in.</w:t>
      </w:r>
    </w:p>
    <w:p w:rsidR="00843F46" w:rsidRDefault="00843F46" w:rsidP="00843F46">
      <w:pPr>
        <w:tabs>
          <w:tab w:val="left" w:pos="720"/>
        </w:tabs>
        <w:suppressAutoHyphens/>
        <w:spacing w:after="240" w:line="240" w:lineRule="auto"/>
        <w:rPr>
          <w:rFonts w:eastAsiaTheme="minorEastAsia" w:cs="Arial"/>
        </w:rPr>
      </w:pPr>
    </w:p>
    <w:p w:rsidR="00F0178E" w:rsidRDefault="00843F46" w:rsidP="00843F46">
      <w:pPr>
        <w:tabs>
          <w:tab w:val="left" w:pos="720"/>
        </w:tabs>
        <w:suppressAutoHyphens/>
        <w:spacing w:after="240" w:line="240" w:lineRule="auto"/>
        <w:rPr>
          <w:rFonts w:eastAsiaTheme="minorEastAsia" w:cs="Arial"/>
        </w:rPr>
      </w:pPr>
      <w:r>
        <w:rPr>
          <w:rFonts w:eastAsiaTheme="minorEastAsia" w:cs="Arial"/>
        </w:rPr>
        <w:t xml:space="preserve">A pair of coefficients </w:t>
      </w:r>
      <m:oMath>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w:r>
        <w:rPr>
          <w:rFonts w:eastAsiaTheme="minorEastAsia" w:cs="Arial"/>
        </w:rPr>
        <w:t xml:space="preserve"> were determined for each BLM channel we intended to replace.</w:t>
      </w:r>
      <w:r w:rsidR="00F0178E">
        <w:rPr>
          <w:rFonts w:eastAsiaTheme="minorEastAsia" w:cs="Arial"/>
        </w:rPr>
        <w:t xml:space="preserve">  These are listed in Listing VI.1.  For a given BLM charge in, the expected Log Integrator output in Rads/Second and the expected value out of the new integrators were computed and compared.  A scale factor between the Log Integrator for each BLM and the new integrators were determined so we could see how the BLM values presented to the operators would change.  The scale factors are also listed in Listing VI.1.</w:t>
      </w:r>
    </w:p>
    <w:p w:rsidR="00F0178E" w:rsidRDefault="00F0178E" w:rsidP="00843F46">
      <w:pPr>
        <w:tabs>
          <w:tab w:val="left" w:pos="720"/>
        </w:tabs>
        <w:suppressAutoHyphens/>
        <w:spacing w:after="240" w:line="240" w:lineRule="auto"/>
        <w:rPr>
          <w:rFonts w:eastAsiaTheme="minorEastAsia" w:cs="Arial"/>
        </w:rPr>
      </w:pPr>
      <w:r>
        <w:rPr>
          <w:rFonts w:eastAsiaTheme="minorEastAsia" w:cs="Arial"/>
        </w:rPr>
        <w:lastRenderedPageBreak/>
        <w:t>Additionally, the 100 Second Sums for each BLM</w:t>
      </w:r>
      <w:r w:rsidR="0037781E">
        <w:rPr>
          <w:rFonts w:eastAsiaTheme="minorEastAsia" w:cs="Arial"/>
        </w:rPr>
        <w:t xml:space="preserve"> has an alarm limit (maximum) associated with it in the ACNET control system.  Using the scale factor determined for each BLM, new maximum limits have been estimated.  The old and new limits are listed in Listing VI.</w:t>
      </w:r>
      <w:r w:rsidR="00AE0DFD">
        <w:rPr>
          <w:rFonts w:eastAsiaTheme="minorEastAsia" w:cs="Arial"/>
        </w:rPr>
        <w:t>1 also</w:t>
      </w:r>
      <w:r w:rsidR="0037781E">
        <w:rPr>
          <w:rFonts w:eastAsiaTheme="minorEastAsia" w:cs="Arial"/>
        </w:rPr>
        <w:t>.</w:t>
      </w:r>
    </w:p>
    <w:p w:rsidR="00F0178E" w:rsidRDefault="00F0178E" w:rsidP="00843F46">
      <w:pPr>
        <w:tabs>
          <w:tab w:val="left" w:pos="720"/>
        </w:tabs>
        <w:suppressAutoHyphens/>
        <w:spacing w:after="240" w:line="240" w:lineRule="auto"/>
        <w:rPr>
          <w:rFonts w:eastAsiaTheme="minorEastAsia" w:cs="Arial"/>
        </w:rPr>
      </w:pPr>
    </w:p>
    <w:p w:rsidR="00F0178E" w:rsidRDefault="00F0178E">
      <w:pPr>
        <w:rPr>
          <w:rFonts w:eastAsiaTheme="minorEastAsia" w:cs="Arial"/>
        </w:rPr>
      </w:pPr>
      <w:r>
        <w:rPr>
          <w:rFonts w:eastAsiaTheme="minorEastAsia" w:cs="Arial"/>
        </w:rPr>
        <w:br w:type="page"/>
      </w:r>
    </w:p>
    <w:p w:rsidR="00F0178E" w:rsidRDefault="00F0178E">
      <w:pPr>
        <w:rPr>
          <w:rFonts w:eastAsiaTheme="minorEastAsia" w:cs="Arial"/>
        </w:rPr>
      </w:pPr>
      <w:r>
        <w:rPr>
          <w:rFonts w:eastAsiaTheme="minorEastAsia" w:cs="Arial"/>
        </w:rPr>
        <w:lastRenderedPageBreak/>
        <w:t>Listing VI.1  Log Integrator Calibration Coefficients</w:t>
      </w:r>
    </w:p>
    <w:tbl>
      <w:tblPr>
        <w:tblW w:w="7934" w:type="dxa"/>
        <w:tblInd w:w="98" w:type="dxa"/>
        <w:tblLook w:val="04A0" w:firstRow="1" w:lastRow="0" w:firstColumn="1" w:lastColumn="0" w:noHBand="0" w:noVBand="1"/>
      </w:tblPr>
      <w:tblGrid>
        <w:gridCol w:w="1148"/>
        <w:gridCol w:w="1348"/>
        <w:gridCol w:w="1348"/>
        <w:gridCol w:w="1386"/>
        <w:gridCol w:w="1258"/>
        <w:gridCol w:w="1446"/>
      </w:tblGrid>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C33D3" w:rsidRPr="00F0178E" w:rsidRDefault="007C33D3" w:rsidP="002E08C4">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Channel</w:t>
            </w:r>
          </w:p>
        </w:tc>
        <w:tc>
          <w:tcPr>
            <w:tcW w:w="134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C33D3" w:rsidRPr="00F0178E" w:rsidRDefault="007C33D3" w:rsidP="002E08C4">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C1</w:t>
            </w:r>
          </w:p>
        </w:tc>
        <w:tc>
          <w:tcPr>
            <w:tcW w:w="134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C33D3" w:rsidRPr="00F0178E" w:rsidRDefault="007C33D3" w:rsidP="002E08C4">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M</w:t>
            </w:r>
            <w:r>
              <w:rPr>
                <w:rFonts w:ascii="Calibri" w:eastAsia="Times New Roman" w:hAnsi="Calibri" w:cs="Times New Roman"/>
                <w:b/>
                <w:bCs/>
                <w:color w:val="000000"/>
                <w:sz w:val="22"/>
              </w:rPr>
              <w:t>, Linear fit coeff.</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rPr>
                <w:rFonts w:ascii="Calibri" w:eastAsia="Times New Roman" w:hAnsi="Calibri" w:cs="Times New Roman"/>
                <w:b/>
                <w:bCs/>
                <w:color w:val="000000"/>
              </w:rPr>
            </w:pPr>
            <w:r w:rsidRPr="0037781E">
              <w:rPr>
                <w:rFonts w:ascii="Calibri" w:eastAsia="Times New Roman" w:hAnsi="Calibri" w:cs="Times New Roman"/>
                <w:b/>
                <w:bCs/>
                <w:color w:val="000000"/>
                <w:sz w:val="22"/>
              </w:rPr>
              <w:t xml:space="preserve">Rad/Sec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 xml:space="preserve">Max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Limit</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rPr>
                <w:rFonts w:ascii="Calibri" w:eastAsia="Times New Roman" w:hAnsi="Calibri" w:cs="Times New Roman"/>
                <w:b/>
                <w:bCs/>
                <w:color w:val="000000"/>
              </w:rPr>
            </w:pPr>
            <w:r w:rsidRPr="00176844">
              <w:rPr>
                <w:rFonts w:ascii="Calibri" w:eastAsia="Times New Roman" w:hAnsi="Calibri" w:cs="Times New Roman"/>
                <w:bCs/>
                <w:i/>
                <w:color w:val="000000"/>
                <w:sz w:val="22"/>
              </w:rPr>
              <w:t>Expected</w:t>
            </w:r>
            <w:r w:rsidRPr="0037781E">
              <w:rPr>
                <w:rFonts w:ascii="Calibri" w:eastAsia="Times New Roman" w:hAnsi="Calibri" w:cs="Times New Roman"/>
                <w:b/>
                <w:bCs/>
                <w:color w:val="000000"/>
                <w:sz w:val="22"/>
              </w:rPr>
              <w:t xml:space="preserve">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 xml:space="preserve">Rad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Max Limit</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1.058726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23.138925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4.026557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6.209</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1.079847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23.613476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4.868800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5.751</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1.066126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23.280417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4.192278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35.780</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23.813356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5.544046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9.019</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1.085209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23.694054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4.898254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10.208</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1.066535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21.702730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0.785346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600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763.995</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1.059226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22.162795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1.423333</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280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196.721</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1.056286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22.245239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1.621982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61.653</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1.073892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22.862261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2.401757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40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16.654</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1.072113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22.896017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2.555346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39.134</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1.067870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22.694835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2.199140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12.732</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1.049345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22.790893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3.200770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26</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8.123</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1.071808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23.106934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3.208474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500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155.837</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1.097026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23.695018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4.118009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55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13.356</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1.110667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23.879618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4.092676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40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9.774</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1.024595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22.345971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2.882238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17.348</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1.055373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22.956385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3.488143</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7.167</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1.040472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23.073156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4.918920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42</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8.538</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1.061679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23.379040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4.969242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95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19.118</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1.048828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23.145449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4.692994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75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15.981</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1.042727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23.079758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4.791032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10.436</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1.072445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23.848534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6.964521</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43</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6.174</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1.062033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23.405727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5.084851</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9.833</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1.050297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23.093264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4.345596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8.744</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1.056624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22.998315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3.579550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340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94.984</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1.075080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23.454829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4.416965</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1300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294.320</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1.101798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24.161697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6.287340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163</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25.925</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1.088620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23.827456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5.363447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18.645</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1.096000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23.783848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4.592772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65.320</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1.055089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22.360708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1.865400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1800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964.940</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1.066470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22.106592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1.205052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165.968</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1.056672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22.340495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1.783726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120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67.275</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1.094737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23.356804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2.978504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33.574</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1.089401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22.973435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2.148376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46.547</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1.068449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22.581719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1.934524</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85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43.938</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1.101710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23.825023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4.409288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22.679</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1.089368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23.399598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3.373609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500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148.209</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lastRenderedPageBreak/>
              <w:t>S14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1.103289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23.739831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3.936461</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118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29.976</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1.105098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23.767950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3.948408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190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48.121</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1.084828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23.635577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4.630436</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120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25.915</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1.071826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23.250011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3.731732</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120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32.157</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1.051381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23.191091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4.742779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288</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60.724</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1.103661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24.389953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7.787109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38.525</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1.111293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24.403921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7.060733</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14.163</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1.080141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23.756021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5.636621</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39.918</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1.102112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24.285618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7.134779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31.536</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1.110512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24.296315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6.374198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135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21.179</w:t>
            </w:r>
          </w:p>
        </w:tc>
      </w:tr>
      <w:tr w:rsidR="007C33D3" w:rsidRPr="00F0178E" w:rsidTr="002E08C4">
        <w:trPr>
          <w:trHeight w:val="315"/>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0.953993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20.742134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1.501187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225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Default="007C33D3" w:rsidP="002E08C4">
            <w:pPr>
              <w:spacing w:after="0"/>
              <w:jc w:val="right"/>
              <w:rPr>
                <w:rFonts w:ascii="Calibri" w:hAnsi="Calibri"/>
                <w:color w:val="000000"/>
                <w:sz w:val="22"/>
              </w:rPr>
            </w:pPr>
            <w:r>
              <w:rPr>
                <w:rFonts w:ascii="Calibri" w:hAnsi="Calibri"/>
                <w:color w:val="000000"/>
                <w:sz w:val="22"/>
              </w:rPr>
              <w:t>149.881</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1.051732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22.157015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1.580308</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34.803</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1.074219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22.391647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1.452909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68.827</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1.052937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22.577092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2.420949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20.653</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22.805972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2.930219</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85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29.008</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1.043974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22.727813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3.241510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525</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161.962</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1.090309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24.170073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7.516283</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66.522</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1.085402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23.865600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5.856105</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1600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273.219</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1.137023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24.852544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7.761957</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36.073</w:t>
            </w:r>
          </w:p>
        </w:tc>
      </w:tr>
      <w:tr w:rsidR="007C33D3" w:rsidRPr="00F0178E" w:rsidTr="002E08C4">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1.118057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24.430559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7C33D3" w:rsidRPr="00F0178E" w:rsidRDefault="007C33D3" w:rsidP="002E08C4">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6.572250</w:t>
            </w:r>
          </w:p>
        </w:tc>
        <w:tc>
          <w:tcPr>
            <w:tcW w:w="12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280</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C33D3" w:rsidRPr="0037781E" w:rsidRDefault="007C33D3" w:rsidP="002E08C4">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42.603</w:t>
            </w:r>
          </w:p>
        </w:tc>
      </w:tr>
    </w:tbl>
    <w:p w:rsidR="007C33D3" w:rsidRDefault="007C33D3">
      <w:pPr>
        <w:rPr>
          <w:rFonts w:eastAsiaTheme="minorEastAsia" w:cs="Arial"/>
        </w:rPr>
      </w:pP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br w:type="page"/>
      </w:r>
    </w:p>
    <w:p w:rsidR="00956DA4" w:rsidRDefault="001A36AE" w:rsidP="00843F46">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130641" cy="6306979"/>
            <wp:effectExtent l="19050" t="0" r="0" b="0"/>
            <wp:docPr id="4" name="Picture 3" descr="ACNET BLM LIMITS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2.GIF"/>
                    <pic:cNvPicPr/>
                  </pic:nvPicPr>
                  <pic:blipFill>
                    <a:blip r:embed="rId15" cstate="print"/>
                    <a:stretch>
                      <a:fillRect/>
                    </a:stretch>
                  </pic:blipFill>
                  <pic:spPr>
                    <a:xfrm>
                      <a:off x="0" y="0"/>
                      <a:ext cx="5130641" cy="6306979"/>
                    </a:xfrm>
                    <a:prstGeom prst="rect">
                      <a:avLst/>
                    </a:prstGeom>
                  </pic:spPr>
                </pic:pic>
              </a:graphicData>
            </a:graphic>
          </wp:inline>
        </w:drawing>
      </w:r>
    </w:p>
    <w:p w:rsidR="00956DA4" w:rsidRDefault="00956DA4" w:rsidP="00843F46">
      <w:pPr>
        <w:tabs>
          <w:tab w:val="left" w:pos="720"/>
        </w:tabs>
        <w:suppressAutoHyphens/>
        <w:spacing w:after="240" w:line="240" w:lineRule="auto"/>
        <w:rPr>
          <w:rFonts w:eastAsiaTheme="minorEastAsia" w:cs="Arial"/>
        </w:rPr>
      </w:pPr>
      <w:r>
        <w:rPr>
          <w:rFonts w:eastAsiaTheme="minorEastAsia" w:cs="Arial"/>
        </w:rPr>
        <w:t>Alarm Thresholds (Rads/Sec) before upgrade</w:t>
      </w:r>
    </w:p>
    <w:p w:rsidR="001A36AE" w:rsidRDefault="001A36AE" w:rsidP="00843F46">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362575" cy="6629400"/>
            <wp:effectExtent l="19050" t="0" r="9525" b="0"/>
            <wp:docPr id="5" name="Picture 4" descr="ACNET BLM LIMITS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1.GIF"/>
                    <pic:cNvPicPr/>
                  </pic:nvPicPr>
                  <pic:blipFill>
                    <a:blip r:embed="rId16" cstate="print"/>
                    <a:stretch>
                      <a:fillRect/>
                    </a:stretch>
                  </pic:blipFill>
                  <pic:spPr>
                    <a:xfrm>
                      <a:off x="0" y="0"/>
                      <a:ext cx="5362575" cy="6629400"/>
                    </a:xfrm>
                    <a:prstGeom prst="rect">
                      <a:avLst/>
                    </a:prstGeom>
                  </pic:spPr>
                </pic:pic>
              </a:graphicData>
            </a:graphic>
          </wp:inline>
        </w:drawing>
      </w:r>
    </w:p>
    <w:p w:rsidR="00956DA4" w:rsidRDefault="00956DA4" w:rsidP="00956DA4">
      <w:pPr>
        <w:tabs>
          <w:tab w:val="left" w:pos="720"/>
        </w:tabs>
        <w:suppressAutoHyphens/>
        <w:spacing w:after="240" w:line="240" w:lineRule="auto"/>
        <w:rPr>
          <w:rFonts w:eastAsiaTheme="minorEastAsia" w:cs="Arial"/>
        </w:rPr>
      </w:pPr>
      <w:r>
        <w:rPr>
          <w:rFonts w:eastAsiaTheme="minorEastAsia" w:cs="Arial"/>
        </w:rPr>
        <w:t>Alarm Thresholds (Rads/Sec) before upgrade</w:t>
      </w:r>
    </w:p>
    <w:p w:rsidR="00956DA4" w:rsidRDefault="00956DA4" w:rsidP="00843F46">
      <w:pPr>
        <w:tabs>
          <w:tab w:val="left" w:pos="720"/>
        </w:tabs>
        <w:suppressAutoHyphens/>
        <w:spacing w:after="240" w:line="240" w:lineRule="auto"/>
        <w:rPr>
          <w:rFonts w:eastAsiaTheme="minorEastAsia" w:cs="Arial"/>
        </w:rPr>
      </w:pPr>
    </w:p>
    <w:p w:rsidR="001A36AE" w:rsidRDefault="001A36AE">
      <w:r>
        <w:br w:type="page"/>
      </w:r>
    </w:p>
    <w:p w:rsidR="00517675" w:rsidRDefault="00517675" w:rsidP="00A75989"/>
    <w:p w:rsidR="00082B59" w:rsidRDefault="00EA0375">
      <w:pPr>
        <w:pStyle w:val="Heading1"/>
        <w:numPr>
          <w:ilvl w:val="0"/>
          <w:numId w:val="0"/>
        </w:numPr>
        <w:ind w:left="360"/>
        <w:rPr>
          <w:rFonts w:eastAsiaTheme="minorEastAsia"/>
        </w:rPr>
      </w:pPr>
      <w:bookmarkStart w:id="17" w:name="_Toc345660748"/>
      <w:r>
        <w:t>Appendix A</w:t>
      </w:r>
      <w:r w:rsidR="00285AA3">
        <w:t xml:space="preserve">:  </w:t>
      </w:r>
      <w:r w:rsidR="00285AA3">
        <w:rPr>
          <w:rFonts w:eastAsiaTheme="minorEastAsia"/>
        </w:rPr>
        <w:t>Scaling for the Log Integrator</w:t>
      </w:r>
      <w:bookmarkEnd w:id="17"/>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For reference we present the scaling details on the older Log Intergrators that have been used in the past.</w:t>
      </w:r>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Scaling for the Log Integrators has been presented by Robert Schafer back around 1982.  Reproductions of his plots are provided in Appendix A.  The Acnet control system scales the Log Integrator output from what it expects to be the voltage output, </w:t>
      </w:r>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r>
          <w:rPr>
            <w:rFonts w:ascii="Cambria Math" w:eastAsiaTheme="minorEastAsia" w:hAnsi="Cambria Math" w:cs="Arial"/>
          </w:rPr>
          <m:t>,</m:t>
        </m:r>
      </m:oMath>
      <w:r>
        <w:rPr>
          <w:rFonts w:eastAsiaTheme="minorEastAsia" w:cs="Arial"/>
        </w:rPr>
        <w:t xml:space="preserve"> of the integrators to Rads per Second, RS.  This conversion is given as</w:t>
      </w:r>
    </w:p>
    <w:p w:rsidR="00285AA3" w:rsidRDefault="00285AA3" w:rsidP="00285AA3">
      <w:pPr>
        <w:tabs>
          <w:tab w:val="left" w:pos="720"/>
        </w:tabs>
        <w:suppressAutoHyphens/>
        <w:spacing w:after="240" w:line="240" w:lineRule="auto"/>
        <w:rPr>
          <w:rFonts w:eastAsiaTheme="minorEastAsia" w:cs="Arial"/>
        </w:rPr>
      </w:pPr>
      <m:oMathPara>
        <m:oMath>
          <m:r>
            <w:rPr>
              <w:rFonts w:ascii="Cambria Math" w:eastAsiaTheme="minorEastAsia" w:hAnsi="Cambria Math" w:cs="Arial"/>
            </w:rPr>
            <m:t>RS=</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e>
          </m:d>
          <m:r>
            <w:rPr>
              <w:rFonts w:ascii="Cambria Math" w:eastAsiaTheme="minorEastAsia" w:hAnsi="Cambria Math" w:cs="Arial"/>
            </w:rPr>
            <m:t xml:space="preserve">,  where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 xml:space="preserve">=0.00721196 and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=1.057772</m:t>
          </m:r>
        </m:oMath>
      </m:oMathPara>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This is the expected calibration for the Booster BLM’s.  Over the years the values produced by the BLM’s have been correlated to the activation of equipment in the Booster tunnel, and alarm limits have been established based on these relationships.  In replacing the integrators in the BLM system we wish to </w:t>
      </w:r>
      <w:r w:rsidR="00AE0DFD">
        <w:rPr>
          <w:rFonts w:eastAsiaTheme="minorEastAsia" w:cs="Arial"/>
        </w:rPr>
        <w:t xml:space="preserve">understand the relationship between </w:t>
      </w:r>
      <w:r>
        <w:rPr>
          <w:rFonts w:eastAsiaTheme="minorEastAsia" w:cs="Arial"/>
        </w:rPr>
        <w:t xml:space="preserve">the </w:t>
      </w:r>
      <w:r w:rsidR="00AE0DFD">
        <w:rPr>
          <w:rFonts w:eastAsiaTheme="minorEastAsia" w:cs="Arial"/>
        </w:rPr>
        <w:t xml:space="preserve">values generated by old and the </w:t>
      </w:r>
      <w:r>
        <w:rPr>
          <w:rFonts w:eastAsiaTheme="minorEastAsia" w:cs="Arial"/>
        </w:rPr>
        <w:t>new integrator</w:t>
      </w:r>
      <w:r w:rsidR="00AE0DFD">
        <w:rPr>
          <w:rFonts w:eastAsiaTheme="minorEastAsia" w:cs="Arial"/>
        </w:rPr>
        <w:t>s</w:t>
      </w:r>
      <w:r>
        <w:rPr>
          <w:rFonts w:eastAsiaTheme="minorEastAsia" w:cs="Arial"/>
        </w:rPr>
        <w:t xml:space="preserve"> </w:t>
      </w:r>
      <w:r w:rsidR="00AE0DFD">
        <w:rPr>
          <w:rFonts w:eastAsiaTheme="minorEastAsia" w:cs="Arial"/>
        </w:rPr>
        <w:t>given the same charge input from the BLM ion chamber</w:t>
      </w:r>
      <w:r>
        <w:rPr>
          <w:rFonts w:eastAsiaTheme="minorEastAsia" w:cs="Arial"/>
        </w:rPr>
        <w:t>.</w:t>
      </w:r>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In order to ensure that we understand the calibration of each of the Log Integrators that has been in service we perform</w:t>
      </w:r>
      <w:r w:rsidR="00AE0DFD">
        <w:rPr>
          <w:rFonts w:eastAsiaTheme="minorEastAsia" w:cs="Arial"/>
        </w:rPr>
        <w:t>ed</w:t>
      </w:r>
      <w:r>
        <w:rPr>
          <w:rFonts w:eastAsiaTheme="minorEastAsia" w:cs="Arial"/>
        </w:rPr>
        <w:t xml:space="preserve"> input/output calibration measurements on each one.  The calibration involves injecting a known charge profile into </w:t>
      </w:r>
      <w:r w:rsidR="00AE0DFD">
        <w:rPr>
          <w:rFonts w:eastAsiaTheme="minorEastAsia" w:cs="Arial"/>
        </w:rPr>
        <w:t>each</w:t>
      </w:r>
      <w:r>
        <w:rPr>
          <w:rFonts w:eastAsiaTheme="minorEastAsia" w:cs="Arial"/>
        </w:rPr>
        <w:t xml:space="preserve"> Log Integrator and measuring the voltage output.  Figure </w:t>
      </w:r>
      <w:r w:rsidR="00AE0DFD">
        <w:rPr>
          <w:rFonts w:eastAsiaTheme="minorEastAsia" w:cs="Arial"/>
        </w:rPr>
        <w:t>A</w:t>
      </w:r>
      <w:r>
        <w:rPr>
          <w:rFonts w:eastAsiaTheme="minorEastAsia" w:cs="Arial"/>
        </w:rPr>
        <w:t>.1 shows a sample plot of the results with a fit to the equation</w:t>
      </w:r>
    </w:p>
    <w:p w:rsidR="00285AA3" w:rsidRDefault="005278F1"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The Log Integrators are digitized to 16 bits with a range of +/-10 volts.  The result is</w:t>
      </w:r>
    </w:p>
    <w:p w:rsidR="00285AA3" w:rsidRPr="00C97AC6" w:rsidRDefault="005278F1"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65536</m:t>
              </m:r>
            </m:num>
            <m:den>
              <m:r>
                <w:rPr>
                  <w:rFonts w:ascii="Cambria Math" w:eastAsiaTheme="minorEastAsia" w:hAnsi="Cambria Math" w:cs="Arial"/>
                </w:rPr>
                <m:t>20</m:t>
              </m:r>
            </m:den>
          </m:f>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oMath>
      </m:oMathPara>
    </w:p>
    <w:p w:rsidR="00285AA3" w:rsidRDefault="005278F1"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hAnsi="Cambria Math" w:cs="Arial"/>
                        </w:rPr>
                        <m:t>k∙T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m:oMathPara>
    </w:p>
    <w:p w:rsidR="00AE0DFD" w:rsidRDefault="00AE0DFD" w:rsidP="00285AA3">
      <w:pPr>
        <w:tabs>
          <w:tab w:val="left" w:pos="720"/>
        </w:tabs>
        <w:suppressAutoHyphens/>
        <w:spacing w:after="240" w:line="240" w:lineRule="auto"/>
        <w:rPr>
          <w:rFonts w:eastAsiaTheme="minorEastAsia" w:cs="Arial"/>
        </w:rPr>
      </w:pPr>
      <w:r>
        <w:rPr>
          <w:rFonts w:eastAsiaTheme="minorEastAsia" w:cs="Arial"/>
        </w:rPr>
        <w:t>Figure A.2 and Figure A.3 are reproductions of the original Log Integrator</w:t>
      </w:r>
      <w:r w:rsidR="00D66D19">
        <w:rPr>
          <w:rFonts w:eastAsiaTheme="minorEastAsia" w:cs="Arial"/>
        </w:rPr>
        <w:t xml:space="preserve"> calibration plots.</w:t>
      </w:r>
    </w:p>
    <w:p w:rsidR="00285AA3" w:rsidRDefault="00082B59" w:rsidP="00285AA3">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135270" cy="3719779"/>
            <wp:effectExtent l="19050" t="0" r="8230" b="0"/>
            <wp:docPr id="1" name="Picture 4"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4" cstate="print"/>
                    <a:srcRect t="5333" r="6400" b="4267"/>
                    <a:stretch>
                      <a:fillRect/>
                    </a:stretch>
                  </pic:blipFill>
                  <pic:spPr>
                    <a:xfrm>
                      <a:off x="0" y="0"/>
                      <a:ext cx="5135270" cy="3719779"/>
                    </a:xfrm>
                    <a:prstGeom prst="rect">
                      <a:avLst/>
                    </a:prstGeom>
                  </pic:spPr>
                </pic:pic>
              </a:graphicData>
            </a:graphic>
          </wp:inline>
        </w:drawing>
      </w:r>
    </w:p>
    <w:p w:rsidR="00082B59" w:rsidRDefault="00285AA3">
      <w:pPr>
        <w:tabs>
          <w:tab w:val="left" w:pos="720"/>
        </w:tabs>
        <w:suppressAutoHyphens/>
        <w:spacing w:after="240" w:line="240" w:lineRule="auto"/>
        <w:rPr>
          <w:rFonts w:eastAsiaTheme="minorEastAsia" w:cs="Arial"/>
        </w:rPr>
      </w:pPr>
      <w:r>
        <w:rPr>
          <w:rFonts w:eastAsiaTheme="minorEastAsia" w:cs="Arial"/>
        </w:rPr>
        <w:t>Figure A.1 Log Integrator voltage out versus charge in.</w:t>
      </w:r>
      <w:r>
        <w:rPr>
          <w:rFonts w:eastAsiaTheme="minorEastAsia" w:cs="Arial"/>
        </w:rPr>
        <w:br w:type="page"/>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943600" cy="8158480"/>
            <wp:effectExtent l="19050" t="0" r="0" b="0"/>
            <wp:docPr id="8" name="Picture 0" descr="Schafer Plo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bmp"/>
                    <pic:cNvPicPr/>
                  </pic:nvPicPr>
                  <pic:blipFill>
                    <a:blip r:embed="rId17" cstate="print"/>
                    <a:stretch>
                      <a:fillRect/>
                    </a:stretch>
                  </pic:blipFill>
                  <pic:spPr>
                    <a:xfrm>
                      <a:off x="0" y="0"/>
                      <a:ext cx="5943600" cy="8158480"/>
                    </a:xfrm>
                    <a:prstGeom prst="rect">
                      <a:avLst/>
                    </a:prstGeom>
                  </pic:spPr>
                </pic:pic>
              </a:graphicData>
            </a:graphic>
          </wp:inline>
        </w:drawing>
      </w:r>
    </w:p>
    <w:p w:rsidR="00EA0375" w:rsidRDefault="00EA0375" w:rsidP="00EA0375">
      <w:pPr>
        <w:tabs>
          <w:tab w:val="left" w:pos="720"/>
        </w:tabs>
        <w:suppressAutoHyphens/>
        <w:spacing w:after="240" w:line="240" w:lineRule="auto"/>
        <w:rPr>
          <w:rFonts w:eastAsiaTheme="minorEastAsia" w:cs="Arial"/>
        </w:rPr>
      </w:pPr>
      <w:r>
        <w:rPr>
          <w:rFonts w:eastAsiaTheme="minorEastAsia" w:cs="Arial"/>
        </w:rPr>
        <w:t xml:space="preserve">Figure </w:t>
      </w:r>
      <w:r w:rsidR="00AE0DFD">
        <w:rPr>
          <w:rFonts w:eastAsiaTheme="minorEastAsia" w:cs="Arial"/>
        </w:rPr>
        <w:t>A</w:t>
      </w:r>
      <w:r>
        <w:rPr>
          <w:rFonts w:eastAsiaTheme="minorEastAsia" w:cs="Arial"/>
        </w:rPr>
        <w:t>.2 Schafer Log Integrator data relating Current and Rads/Second to Volts out.</w:t>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804440" cy="8175022"/>
            <wp:effectExtent l="19050" t="0" r="5810" b="0"/>
            <wp:docPr id="9" name="Picture 3" descr="Schafer Plot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 2.bmp"/>
                    <pic:cNvPicPr/>
                  </pic:nvPicPr>
                  <pic:blipFill>
                    <a:blip r:embed="rId18" cstate="print"/>
                    <a:stretch>
                      <a:fillRect/>
                    </a:stretch>
                  </pic:blipFill>
                  <pic:spPr>
                    <a:xfrm>
                      <a:off x="0" y="0"/>
                      <a:ext cx="5804440" cy="8175022"/>
                    </a:xfrm>
                    <a:prstGeom prst="rect">
                      <a:avLst/>
                    </a:prstGeom>
                  </pic:spPr>
                </pic:pic>
              </a:graphicData>
            </a:graphic>
          </wp:inline>
        </w:drawing>
      </w:r>
    </w:p>
    <w:p w:rsidR="00EA0375" w:rsidRPr="00EA0375" w:rsidRDefault="00EA0375" w:rsidP="00EA0375">
      <w:pPr>
        <w:tabs>
          <w:tab w:val="left" w:pos="720"/>
        </w:tabs>
        <w:suppressAutoHyphens/>
        <w:spacing w:after="240" w:line="240" w:lineRule="auto"/>
        <w:rPr>
          <w:rFonts w:eastAsiaTheme="minorEastAsia" w:cs="Arial"/>
        </w:rPr>
      </w:pPr>
      <w:r>
        <w:rPr>
          <w:rFonts w:eastAsiaTheme="minorEastAsia" w:cs="Arial"/>
        </w:rPr>
        <w:t xml:space="preserve">Figure </w:t>
      </w:r>
      <w:r w:rsidR="00AE0DFD">
        <w:rPr>
          <w:rFonts w:eastAsiaTheme="minorEastAsia" w:cs="Arial"/>
        </w:rPr>
        <w:t>A</w:t>
      </w:r>
      <w:r>
        <w:rPr>
          <w:rFonts w:eastAsiaTheme="minorEastAsia" w:cs="Arial"/>
        </w:rPr>
        <w:t>.</w:t>
      </w:r>
      <w:r w:rsidR="00AE0DFD">
        <w:rPr>
          <w:rFonts w:eastAsiaTheme="minorEastAsia" w:cs="Arial"/>
        </w:rPr>
        <w:t>3</w:t>
      </w:r>
      <w:r>
        <w:rPr>
          <w:rFonts w:eastAsiaTheme="minorEastAsia" w:cs="Arial"/>
        </w:rPr>
        <w:t xml:space="preserve"> Schafer Log Integrator data relating Charge and Rads to Volts out.</w:t>
      </w:r>
    </w:p>
    <w:sectPr w:rsidR="00EA0375" w:rsidRPr="00EA0375" w:rsidSect="004537AE">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F1" w:rsidRDefault="005278F1" w:rsidP="00987202">
      <w:pPr>
        <w:spacing w:after="0" w:line="240" w:lineRule="auto"/>
      </w:pPr>
      <w:r>
        <w:separator/>
      </w:r>
    </w:p>
  </w:endnote>
  <w:endnote w:type="continuationSeparator" w:id="0">
    <w:p w:rsidR="005278F1" w:rsidRDefault="005278F1" w:rsidP="0098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JDNN+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64080"/>
      <w:docPartObj>
        <w:docPartGallery w:val="Page Numbers (Bottom of Page)"/>
        <w:docPartUnique/>
      </w:docPartObj>
    </w:sdtPr>
    <w:sdtEndPr>
      <w:rPr>
        <w:color w:val="7F7F7F" w:themeColor="background1" w:themeShade="7F"/>
        <w:spacing w:val="60"/>
      </w:rPr>
    </w:sdtEndPr>
    <w:sdtContent>
      <w:p w:rsidR="005278F1" w:rsidRDefault="005278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1F0A">
          <w:rPr>
            <w:noProof/>
          </w:rPr>
          <w:t>12</w:t>
        </w:r>
        <w:r>
          <w:rPr>
            <w:noProof/>
          </w:rPr>
          <w:fldChar w:fldCharType="end"/>
        </w:r>
        <w:r>
          <w:t xml:space="preserve"> | </w:t>
        </w:r>
        <w:r>
          <w:rPr>
            <w:color w:val="7F7F7F" w:themeColor="background1" w:themeShade="7F"/>
            <w:spacing w:val="60"/>
          </w:rPr>
          <w:t>Page</w:t>
        </w:r>
      </w:p>
    </w:sdtContent>
  </w:sdt>
  <w:p w:rsidR="005278F1" w:rsidRDefault="00527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F1" w:rsidRDefault="005278F1" w:rsidP="00987202">
      <w:pPr>
        <w:spacing w:after="0" w:line="240" w:lineRule="auto"/>
      </w:pPr>
      <w:r>
        <w:separator/>
      </w:r>
    </w:p>
  </w:footnote>
  <w:footnote w:type="continuationSeparator" w:id="0">
    <w:p w:rsidR="005278F1" w:rsidRDefault="005278F1" w:rsidP="00987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682251"/>
    <w:multiLevelType w:val="hybridMultilevel"/>
    <w:tmpl w:val="D3D40540"/>
    <w:lvl w:ilvl="0" w:tplc="358A81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499"/>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43B5A"/>
    <w:multiLevelType w:val="hybridMultilevel"/>
    <w:tmpl w:val="B124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F431D"/>
    <w:multiLevelType w:val="hybridMultilevel"/>
    <w:tmpl w:val="B178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B5727"/>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F251E"/>
    <w:multiLevelType w:val="multilevel"/>
    <w:tmpl w:val="C32E70D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1"/>
  </w:num>
  <w:num w:numId="15">
    <w:abstractNumId w:val="6"/>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84"/>
    <w:rsid w:val="000049F1"/>
    <w:rsid w:val="000140F5"/>
    <w:rsid w:val="000151E4"/>
    <w:rsid w:val="00017B85"/>
    <w:rsid w:val="0002688E"/>
    <w:rsid w:val="0004011B"/>
    <w:rsid w:val="00055688"/>
    <w:rsid w:val="000656ED"/>
    <w:rsid w:val="00070C2D"/>
    <w:rsid w:val="00075078"/>
    <w:rsid w:val="00082B59"/>
    <w:rsid w:val="000A36B2"/>
    <w:rsid w:val="000A65EC"/>
    <w:rsid w:val="000B2316"/>
    <w:rsid w:val="000B42A4"/>
    <w:rsid w:val="000C15E9"/>
    <w:rsid w:val="000D103F"/>
    <w:rsid w:val="000D1F0A"/>
    <w:rsid w:val="000E1E4E"/>
    <w:rsid w:val="000E3DD3"/>
    <w:rsid w:val="000E4C90"/>
    <w:rsid w:val="000E59A1"/>
    <w:rsid w:val="000F74BB"/>
    <w:rsid w:val="00123CC2"/>
    <w:rsid w:val="001336E3"/>
    <w:rsid w:val="001418A8"/>
    <w:rsid w:val="00150BB0"/>
    <w:rsid w:val="0017233C"/>
    <w:rsid w:val="00183D92"/>
    <w:rsid w:val="001A36AE"/>
    <w:rsid w:val="001A763E"/>
    <w:rsid w:val="001C1990"/>
    <w:rsid w:val="001D0381"/>
    <w:rsid w:val="001E7F75"/>
    <w:rsid w:val="001F1AFB"/>
    <w:rsid w:val="00216C6C"/>
    <w:rsid w:val="0024679A"/>
    <w:rsid w:val="00271274"/>
    <w:rsid w:val="00272775"/>
    <w:rsid w:val="002730C3"/>
    <w:rsid w:val="00285AA3"/>
    <w:rsid w:val="00285E08"/>
    <w:rsid w:val="00293971"/>
    <w:rsid w:val="00296A4B"/>
    <w:rsid w:val="002E08C4"/>
    <w:rsid w:val="002E5853"/>
    <w:rsid w:val="002E7B63"/>
    <w:rsid w:val="002F117A"/>
    <w:rsid w:val="00303384"/>
    <w:rsid w:val="0031781E"/>
    <w:rsid w:val="003230F7"/>
    <w:rsid w:val="003329D4"/>
    <w:rsid w:val="00354DA6"/>
    <w:rsid w:val="00365083"/>
    <w:rsid w:val="003739A2"/>
    <w:rsid w:val="0037781E"/>
    <w:rsid w:val="00392750"/>
    <w:rsid w:val="003B2DDC"/>
    <w:rsid w:val="003C332F"/>
    <w:rsid w:val="003C3791"/>
    <w:rsid w:val="003F152A"/>
    <w:rsid w:val="003F58C8"/>
    <w:rsid w:val="0040669F"/>
    <w:rsid w:val="0043501A"/>
    <w:rsid w:val="00444854"/>
    <w:rsid w:val="0044776F"/>
    <w:rsid w:val="004509AE"/>
    <w:rsid w:val="004524C4"/>
    <w:rsid w:val="004537AE"/>
    <w:rsid w:val="00470E0F"/>
    <w:rsid w:val="0047416A"/>
    <w:rsid w:val="00490547"/>
    <w:rsid w:val="00494BEF"/>
    <w:rsid w:val="004C618C"/>
    <w:rsid w:val="004E21D6"/>
    <w:rsid w:val="004E5C57"/>
    <w:rsid w:val="00517675"/>
    <w:rsid w:val="00517D78"/>
    <w:rsid w:val="005278F1"/>
    <w:rsid w:val="005279B5"/>
    <w:rsid w:val="00544192"/>
    <w:rsid w:val="0054485E"/>
    <w:rsid w:val="005560ED"/>
    <w:rsid w:val="00591774"/>
    <w:rsid w:val="005C1D47"/>
    <w:rsid w:val="005D5BA6"/>
    <w:rsid w:val="005E0935"/>
    <w:rsid w:val="0060090D"/>
    <w:rsid w:val="00611CD6"/>
    <w:rsid w:val="0063258B"/>
    <w:rsid w:val="00640E59"/>
    <w:rsid w:val="00647923"/>
    <w:rsid w:val="0067064F"/>
    <w:rsid w:val="006B219A"/>
    <w:rsid w:val="006B568E"/>
    <w:rsid w:val="006B5F45"/>
    <w:rsid w:val="006D564D"/>
    <w:rsid w:val="006F69C0"/>
    <w:rsid w:val="00700522"/>
    <w:rsid w:val="007008C3"/>
    <w:rsid w:val="00740A5E"/>
    <w:rsid w:val="00747F5B"/>
    <w:rsid w:val="00750CF3"/>
    <w:rsid w:val="00751330"/>
    <w:rsid w:val="007675D5"/>
    <w:rsid w:val="007A50A1"/>
    <w:rsid w:val="007B4233"/>
    <w:rsid w:val="007B776E"/>
    <w:rsid w:val="007C0F8E"/>
    <w:rsid w:val="007C33D3"/>
    <w:rsid w:val="007C518B"/>
    <w:rsid w:val="007C7BAE"/>
    <w:rsid w:val="007D4CDF"/>
    <w:rsid w:val="00810BB2"/>
    <w:rsid w:val="00836B4D"/>
    <w:rsid w:val="00843F46"/>
    <w:rsid w:val="00854713"/>
    <w:rsid w:val="00870919"/>
    <w:rsid w:val="00873C8D"/>
    <w:rsid w:val="00895F08"/>
    <w:rsid w:val="008A1341"/>
    <w:rsid w:val="008A5ABB"/>
    <w:rsid w:val="008C3B3D"/>
    <w:rsid w:val="008D0E65"/>
    <w:rsid w:val="008E03DA"/>
    <w:rsid w:val="008E4180"/>
    <w:rsid w:val="008E6F83"/>
    <w:rsid w:val="00900420"/>
    <w:rsid w:val="00904FAA"/>
    <w:rsid w:val="00924D0D"/>
    <w:rsid w:val="00934624"/>
    <w:rsid w:val="0094542B"/>
    <w:rsid w:val="00953AE8"/>
    <w:rsid w:val="00956DA4"/>
    <w:rsid w:val="00972454"/>
    <w:rsid w:val="00987202"/>
    <w:rsid w:val="009A3139"/>
    <w:rsid w:val="009D5764"/>
    <w:rsid w:val="009D5D1F"/>
    <w:rsid w:val="009E0DDB"/>
    <w:rsid w:val="009E5470"/>
    <w:rsid w:val="009F1290"/>
    <w:rsid w:val="009F4060"/>
    <w:rsid w:val="009F5DBB"/>
    <w:rsid w:val="00A05992"/>
    <w:rsid w:val="00A251CF"/>
    <w:rsid w:val="00A27716"/>
    <w:rsid w:val="00A45CA4"/>
    <w:rsid w:val="00A5171B"/>
    <w:rsid w:val="00A53B29"/>
    <w:rsid w:val="00A6003D"/>
    <w:rsid w:val="00A70AB4"/>
    <w:rsid w:val="00A7408B"/>
    <w:rsid w:val="00A75989"/>
    <w:rsid w:val="00A942FC"/>
    <w:rsid w:val="00A94818"/>
    <w:rsid w:val="00AA7BAC"/>
    <w:rsid w:val="00AD0E97"/>
    <w:rsid w:val="00AD3A9E"/>
    <w:rsid w:val="00AD71D7"/>
    <w:rsid w:val="00AE0DFD"/>
    <w:rsid w:val="00B06622"/>
    <w:rsid w:val="00B2166D"/>
    <w:rsid w:val="00B24FFD"/>
    <w:rsid w:val="00B521E1"/>
    <w:rsid w:val="00B62693"/>
    <w:rsid w:val="00B949EA"/>
    <w:rsid w:val="00BA285B"/>
    <w:rsid w:val="00BB6B0D"/>
    <w:rsid w:val="00BC1752"/>
    <w:rsid w:val="00BC5159"/>
    <w:rsid w:val="00BF3D53"/>
    <w:rsid w:val="00C00211"/>
    <w:rsid w:val="00C00718"/>
    <w:rsid w:val="00C03893"/>
    <w:rsid w:val="00C06A20"/>
    <w:rsid w:val="00C072A0"/>
    <w:rsid w:val="00C22386"/>
    <w:rsid w:val="00C33A1E"/>
    <w:rsid w:val="00C6393A"/>
    <w:rsid w:val="00C778C0"/>
    <w:rsid w:val="00C914FC"/>
    <w:rsid w:val="00C97AC6"/>
    <w:rsid w:val="00CC2690"/>
    <w:rsid w:val="00CC580E"/>
    <w:rsid w:val="00CE48E4"/>
    <w:rsid w:val="00D365B0"/>
    <w:rsid w:val="00D435B7"/>
    <w:rsid w:val="00D66D19"/>
    <w:rsid w:val="00D94426"/>
    <w:rsid w:val="00D97696"/>
    <w:rsid w:val="00DD5E47"/>
    <w:rsid w:val="00DE43D6"/>
    <w:rsid w:val="00DE4665"/>
    <w:rsid w:val="00DF3F08"/>
    <w:rsid w:val="00E005AE"/>
    <w:rsid w:val="00E22375"/>
    <w:rsid w:val="00EA0375"/>
    <w:rsid w:val="00EA2C60"/>
    <w:rsid w:val="00EB3BF1"/>
    <w:rsid w:val="00EC625F"/>
    <w:rsid w:val="00ED029A"/>
    <w:rsid w:val="00EE1A21"/>
    <w:rsid w:val="00EF00DE"/>
    <w:rsid w:val="00EF7749"/>
    <w:rsid w:val="00F0178E"/>
    <w:rsid w:val="00F24899"/>
    <w:rsid w:val="00F31094"/>
    <w:rsid w:val="00F37964"/>
    <w:rsid w:val="00F43E84"/>
    <w:rsid w:val="00F45FFA"/>
    <w:rsid w:val="00F5693C"/>
    <w:rsid w:val="00F60BC1"/>
    <w:rsid w:val="00F641BD"/>
    <w:rsid w:val="00F80780"/>
    <w:rsid w:val="00F84C1D"/>
    <w:rsid w:val="00FC0C1F"/>
    <w:rsid w:val="00FD20CC"/>
    <w:rsid w:val="00FD657F"/>
    <w:rsid w:val="00FE1EA7"/>
    <w:rsid w:val="00FF4C92"/>
    <w:rsid w:val="00F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semiHidden/>
    <w:unhideWhenUsed/>
    <w:qFormat/>
    <w:rsid w:val="00FF4C92"/>
    <w:pPr>
      <w:numPr>
        <w:numId w:val="0"/>
      </w:numPr>
      <w:outlineLvl w:val="9"/>
    </w:pPr>
  </w:style>
  <w:style w:type="paragraph" w:styleId="BalloonText">
    <w:name w:val="Balloon Text"/>
    <w:basedOn w:val="Normal"/>
    <w:link w:val="BalloonTextChar"/>
    <w:uiPriority w:val="99"/>
    <w:semiHidden/>
    <w:unhideWhenUsed/>
    <w:rsid w:val="0030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84"/>
    <w:rPr>
      <w:rFonts w:ascii="Tahoma" w:hAnsi="Tahoma" w:cs="Tahoma"/>
      <w:sz w:val="16"/>
      <w:szCs w:val="16"/>
    </w:rPr>
  </w:style>
  <w:style w:type="character" w:styleId="PlaceholderText">
    <w:name w:val="Placeholder Text"/>
    <w:basedOn w:val="DefaultParagraphFont"/>
    <w:uiPriority w:val="99"/>
    <w:semiHidden/>
    <w:rsid w:val="001336E3"/>
    <w:rPr>
      <w:color w:val="808080"/>
    </w:rPr>
  </w:style>
  <w:style w:type="paragraph" w:customStyle="1" w:styleId="TableContents">
    <w:name w:val="Table Contents"/>
    <w:basedOn w:val="Normal"/>
    <w:rsid w:val="00150BB0"/>
    <w:pPr>
      <w:suppressLineNumbers/>
      <w:suppressAutoHyphens/>
      <w:spacing w:after="0" w:line="240" w:lineRule="auto"/>
    </w:pPr>
    <w:rPr>
      <w:rFonts w:ascii="Times New Roman" w:eastAsia="Times New Roman" w:hAnsi="Times New Roman" w:cs="Times New Roman"/>
      <w:szCs w:val="24"/>
      <w:lang w:eastAsia="ar-SA"/>
    </w:rPr>
  </w:style>
  <w:style w:type="paragraph" w:customStyle="1" w:styleId="Heading11">
    <w:name w:val="Heading 1.1"/>
    <w:basedOn w:val="Heading3"/>
    <w:rsid w:val="00150BB0"/>
    <w:pPr>
      <w:keepLines w:val="0"/>
      <w:numPr>
        <w:ilvl w:val="0"/>
        <w:numId w:val="0"/>
      </w:numPr>
      <w:tabs>
        <w:tab w:val="left" w:pos="0"/>
      </w:tabs>
      <w:suppressAutoHyphens/>
      <w:spacing w:before="0" w:after="173" w:line="240" w:lineRule="auto"/>
      <w:outlineLvl w:val="1"/>
    </w:pPr>
    <w:rPr>
      <w:rFonts w:ascii="Arial" w:eastAsia="Times New Roman" w:hAnsi="Arial" w:cs="Arial"/>
      <w:color w:val="auto"/>
      <w:sz w:val="26"/>
      <w:szCs w:val="26"/>
      <w:lang w:eastAsia="ar-SA"/>
    </w:rPr>
  </w:style>
  <w:style w:type="paragraph" w:customStyle="1" w:styleId="Heading12">
    <w:name w:val="Heading 1.2"/>
    <w:basedOn w:val="Normal"/>
    <w:rsid w:val="00150BB0"/>
    <w:pPr>
      <w:tabs>
        <w:tab w:val="num" w:pos="0"/>
      </w:tabs>
      <w:suppressAutoHyphens/>
      <w:spacing w:after="0" w:line="240" w:lineRule="auto"/>
      <w:outlineLvl w:val="2"/>
    </w:pPr>
    <w:rPr>
      <w:rFonts w:ascii="Times New Roman" w:eastAsia="Times New Roman" w:hAnsi="Times New Roman" w:cs="Times New Roman"/>
      <w:b/>
      <w:bCs/>
      <w:szCs w:val="24"/>
      <w:lang w:eastAsia="ar-SA"/>
    </w:rPr>
  </w:style>
  <w:style w:type="character" w:styleId="Emphasis">
    <w:name w:val="Emphasis"/>
    <w:basedOn w:val="DefaultParagraphFont"/>
    <w:uiPriority w:val="20"/>
    <w:qFormat/>
    <w:rsid w:val="00D435B7"/>
    <w:rPr>
      <w:i/>
      <w:iCs/>
    </w:rPr>
  </w:style>
  <w:style w:type="paragraph" w:styleId="TOC1">
    <w:name w:val="toc 1"/>
    <w:basedOn w:val="Normal"/>
    <w:next w:val="Normal"/>
    <w:autoRedefine/>
    <w:uiPriority w:val="39"/>
    <w:unhideWhenUsed/>
    <w:rsid w:val="00987202"/>
    <w:pPr>
      <w:spacing w:after="100"/>
    </w:pPr>
  </w:style>
  <w:style w:type="paragraph" w:styleId="TOC2">
    <w:name w:val="toc 2"/>
    <w:basedOn w:val="Normal"/>
    <w:next w:val="Normal"/>
    <w:autoRedefine/>
    <w:uiPriority w:val="39"/>
    <w:unhideWhenUsed/>
    <w:rsid w:val="00987202"/>
    <w:pPr>
      <w:spacing w:after="100"/>
      <w:ind w:left="240"/>
    </w:pPr>
  </w:style>
  <w:style w:type="paragraph" w:styleId="TOC3">
    <w:name w:val="toc 3"/>
    <w:basedOn w:val="Normal"/>
    <w:next w:val="Normal"/>
    <w:autoRedefine/>
    <w:uiPriority w:val="39"/>
    <w:unhideWhenUsed/>
    <w:rsid w:val="00987202"/>
    <w:pPr>
      <w:spacing w:after="100"/>
      <w:ind w:left="480"/>
    </w:pPr>
  </w:style>
  <w:style w:type="character" w:styleId="Hyperlink">
    <w:name w:val="Hyperlink"/>
    <w:basedOn w:val="DefaultParagraphFont"/>
    <w:uiPriority w:val="99"/>
    <w:unhideWhenUsed/>
    <w:rsid w:val="00987202"/>
    <w:rPr>
      <w:color w:val="0000FF" w:themeColor="hyperlink"/>
      <w:u w:val="single"/>
    </w:rPr>
  </w:style>
  <w:style w:type="paragraph" w:styleId="Header">
    <w:name w:val="header"/>
    <w:basedOn w:val="Normal"/>
    <w:link w:val="HeaderChar"/>
    <w:uiPriority w:val="99"/>
    <w:semiHidden/>
    <w:unhideWhenUsed/>
    <w:rsid w:val="0098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202"/>
    <w:rPr>
      <w:sz w:val="24"/>
    </w:rPr>
  </w:style>
  <w:style w:type="paragraph" w:styleId="Footer">
    <w:name w:val="footer"/>
    <w:basedOn w:val="Normal"/>
    <w:link w:val="FooterChar"/>
    <w:uiPriority w:val="99"/>
    <w:unhideWhenUsed/>
    <w:rsid w:val="0098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semiHidden/>
    <w:unhideWhenUsed/>
    <w:qFormat/>
    <w:rsid w:val="00FF4C92"/>
    <w:pPr>
      <w:numPr>
        <w:numId w:val="0"/>
      </w:numPr>
      <w:outlineLvl w:val="9"/>
    </w:pPr>
  </w:style>
  <w:style w:type="paragraph" w:styleId="BalloonText">
    <w:name w:val="Balloon Text"/>
    <w:basedOn w:val="Normal"/>
    <w:link w:val="BalloonTextChar"/>
    <w:uiPriority w:val="99"/>
    <w:semiHidden/>
    <w:unhideWhenUsed/>
    <w:rsid w:val="0030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84"/>
    <w:rPr>
      <w:rFonts w:ascii="Tahoma" w:hAnsi="Tahoma" w:cs="Tahoma"/>
      <w:sz w:val="16"/>
      <w:szCs w:val="16"/>
    </w:rPr>
  </w:style>
  <w:style w:type="character" w:styleId="PlaceholderText">
    <w:name w:val="Placeholder Text"/>
    <w:basedOn w:val="DefaultParagraphFont"/>
    <w:uiPriority w:val="99"/>
    <w:semiHidden/>
    <w:rsid w:val="001336E3"/>
    <w:rPr>
      <w:color w:val="808080"/>
    </w:rPr>
  </w:style>
  <w:style w:type="paragraph" w:customStyle="1" w:styleId="TableContents">
    <w:name w:val="Table Contents"/>
    <w:basedOn w:val="Normal"/>
    <w:rsid w:val="00150BB0"/>
    <w:pPr>
      <w:suppressLineNumbers/>
      <w:suppressAutoHyphens/>
      <w:spacing w:after="0" w:line="240" w:lineRule="auto"/>
    </w:pPr>
    <w:rPr>
      <w:rFonts w:ascii="Times New Roman" w:eastAsia="Times New Roman" w:hAnsi="Times New Roman" w:cs="Times New Roman"/>
      <w:szCs w:val="24"/>
      <w:lang w:eastAsia="ar-SA"/>
    </w:rPr>
  </w:style>
  <w:style w:type="paragraph" w:customStyle="1" w:styleId="Heading11">
    <w:name w:val="Heading 1.1"/>
    <w:basedOn w:val="Heading3"/>
    <w:rsid w:val="00150BB0"/>
    <w:pPr>
      <w:keepLines w:val="0"/>
      <w:numPr>
        <w:ilvl w:val="0"/>
        <w:numId w:val="0"/>
      </w:numPr>
      <w:tabs>
        <w:tab w:val="left" w:pos="0"/>
      </w:tabs>
      <w:suppressAutoHyphens/>
      <w:spacing w:before="0" w:after="173" w:line="240" w:lineRule="auto"/>
      <w:outlineLvl w:val="1"/>
    </w:pPr>
    <w:rPr>
      <w:rFonts w:ascii="Arial" w:eastAsia="Times New Roman" w:hAnsi="Arial" w:cs="Arial"/>
      <w:color w:val="auto"/>
      <w:sz w:val="26"/>
      <w:szCs w:val="26"/>
      <w:lang w:eastAsia="ar-SA"/>
    </w:rPr>
  </w:style>
  <w:style w:type="paragraph" w:customStyle="1" w:styleId="Heading12">
    <w:name w:val="Heading 1.2"/>
    <w:basedOn w:val="Normal"/>
    <w:rsid w:val="00150BB0"/>
    <w:pPr>
      <w:tabs>
        <w:tab w:val="num" w:pos="0"/>
      </w:tabs>
      <w:suppressAutoHyphens/>
      <w:spacing w:after="0" w:line="240" w:lineRule="auto"/>
      <w:outlineLvl w:val="2"/>
    </w:pPr>
    <w:rPr>
      <w:rFonts w:ascii="Times New Roman" w:eastAsia="Times New Roman" w:hAnsi="Times New Roman" w:cs="Times New Roman"/>
      <w:b/>
      <w:bCs/>
      <w:szCs w:val="24"/>
      <w:lang w:eastAsia="ar-SA"/>
    </w:rPr>
  </w:style>
  <w:style w:type="character" w:styleId="Emphasis">
    <w:name w:val="Emphasis"/>
    <w:basedOn w:val="DefaultParagraphFont"/>
    <w:uiPriority w:val="20"/>
    <w:qFormat/>
    <w:rsid w:val="00D435B7"/>
    <w:rPr>
      <w:i/>
      <w:iCs/>
    </w:rPr>
  </w:style>
  <w:style w:type="paragraph" w:styleId="TOC1">
    <w:name w:val="toc 1"/>
    <w:basedOn w:val="Normal"/>
    <w:next w:val="Normal"/>
    <w:autoRedefine/>
    <w:uiPriority w:val="39"/>
    <w:unhideWhenUsed/>
    <w:rsid w:val="00987202"/>
    <w:pPr>
      <w:spacing w:after="100"/>
    </w:pPr>
  </w:style>
  <w:style w:type="paragraph" w:styleId="TOC2">
    <w:name w:val="toc 2"/>
    <w:basedOn w:val="Normal"/>
    <w:next w:val="Normal"/>
    <w:autoRedefine/>
    <w:uiPriority w:val="39"/>
    <w:unhideWhenUsed/>
    <w:rsid w:val="00987202"/>
    <w:pPr>
      <w:spacing w:after="100"/>
      <w:ind w:left="240"/>
    </w:pPr>
  </w:style>
  <w:style w:type="paragraph" w:styleId="TOC3">
    <w:name w:val="toc 3"/>
    <w:basedOn w:val="Normal"/>
    <w:next w:val="Normal"/>
    <w:autoRedefine/>
    <w:uiPriority w:val="39"/>
    <w:unhideWhenUsed/>
    <w:rsid w:val="00987202"/>
    <w:pPr>
      <w:spacing w:after="100"/>
      <w:ind w:left="480"/>
    </w:pPr>
  </w:style>
  <w:style w:type="character" w:styleId="Hyperlink">
    <w:name w:val="Hyperlink"/>
    <w:basedOn w:val="DefaultParagraphFont"/>
    <w:uiPriority w:val="99"/>
    <w:unhideWhenUsed/>
    <w:rsid w:val="00987202"/>
    <w:rPr>
      <w:color w:val="0000FF" w:themeColor="hyperlink"/>
      <w:u w:val="single"/>
    </w:rPr>
  </w:style>
  <w:style w:type="paragraph" w:styleId="Header">
    <w:name w:val="header"/>
    <w:basedOn w:val="Normal"/>
    <w:link w:val="HeaderChar"/>
    <w:uiPriority w:val="99"/>
    <w:semiHidden/>
    <w:unhideWhenUsed/>
    <w:rsid w:val="0098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202"/>
    <w:rPr>
      <w:sz w:val="24"/>
    </w:rPr>
  </w:style>
  <w:style w:type="paragraph" w:styleId="Footer">
    <w:name w:val="footer"/>
    <w:basedOn w:val="Normal"/>
    <w:link w:val="FooterChar"/>
    <w:uiPriority w:val="99"/>
    <w:unhideWhenUsed/>
    <w:rsid w:val="0098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1564">
      <w:bodyDiv w:val="1"/>
      <w:marLeft w:val="0"/>
      <w:marRight w:val="0"/>
      <w:marTop w:val="0"/>
      <w:marBottom w:val="0"/>
      <w:divBdr>
        <w:top w:val="none" w:sz="0" w:space="0" w:color="auto"/>
        <w:left w:val="none" w:sz="0" w:space="0" w:color="auto"/>
        <w:bottom w:val="none" w:sz="0" w:space="0" w:color="auto"/>
        <w:right w:val="none" w:sz="0" w:space="0" w:color="auto"/>
      </w:divBdr>
    </w:div>
    <w:div w:id="15959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1049-EDC3-489F-A038-151AD7F5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Drennan</dc:creator>
  <cp:lastModifiedBy>Craig C. Drennan</cp:lastModifiedBy>
  <cp:revision>2</cp:revision>
  <cp:lastPrinted>2013-01-10T21:32:00Z</cp:lastPrinted>
  <dcterms:created xsi:type="dcterms:W3CDTF">2013-01-14T19:27:00Z</dcterms:created>
  <dcterms:modified xsi:type="dcterms:W3CDTF">2013-01-14T19:27:00Z</dcterms:modified>
</cp:coreProperties>
</file>