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CE" w:rsidRDefault="003D72CE" w:rsidP="003D72CE">
      <w:pPr>
        <w:pStyle w:val="Title"/>
        <w:spacing w:before="0"/>
        <w:jc w:val="center"/>
        <w:rPr>
          <w:b/>
        </w:rPr>
      </w:pPr>
    </w:p>
    <w:p w:rsidR="00DE6A2D" w:rsidRDefault="00D67DFB" w:rsidP="003D72CE">
      <w:pPr>
        <w:pStyle w:val="Title"/>
        <w:spacing w:before="0"/>
        <w:jc w:val="center"/>
        <w:rPr>
          <w:b/>
        </w:rPr>
      </w:pPr>
      <w:r w:rsidRPr="00471418">
        <w:rPr>
          <w:b/>
        </w:rPr>
        <w:t xml:space="preserve">Scaling Factors </w:t>
      </w:r>
    </w:p>
    <w:p w:rsidR="0056088F" w:rsidRPr="00471418" w:rsidRDefault="00D67DFB" w:rsidP="003D72CE">
      <w:pPr>
        <w:pStyle w:val="Title"/>
        <w:spacing w:before="0"/>
        <w:jc w:val="center"/>
        <w:rPr>
          <w:b/>
        </w:rPr>
      </w:pPr>
      <w:r w:rsidRPr="00471418">
        <w:rPr>
          <w:b/>
        </w:rPr>
        <w:t>for the New Linac BPM Modules</w:t>
      </w:r>
    </w:p>
    <w:p w:rsidR="00D67DFB" w:rsidRDefault="00D67DFB" w:rsidP="00471418">
      <w:pPr>
        <w:jc w:val="right"/>
      </w:pPr>
      <w:r>
        <w:t>Elliott McCrory</w:t>
      </w:r>
      <w:r w:rsidR="004043DD">
        <w:t xml:space="preserve"> and Matt Gardner</w:t>
      </w:r>
    </w:p>
    <w:p w:rsidR="00D67DFB" w:rsidRDefault="00783A92" w:rsidP="00471418">
      <w:pPr>
        <w:jc w:val="right"/>
      </w:pPr>
      <w:r>
        <w:t>December 19</w:t>
      </w:r>
      <w:r w:rsidR="00D67DFB">
        <w:t>, 2012</w:t>
      </w:r>
    </w:p>
    <w:p w:rsidR="00AC15C6" w:rsidRDefault="00AC15C6" w:rsidP="00AC15C6">
      <w:pPr>
        <w:pStyle w:val="Heading1"/>
      </w:pPr>
      <w:r>
        <w:t>Positions</w:t>
      </w:r>
    </w:p>
    <w:p w:rsidR="00D67DFB" w:rsidRDefault="00D67DFB">
      <w:r>
        <w:t xml:space="preserve">The old BPM electronics modules produced a voltage that was </w:t>
      </w:r>
      <w:r w:rsidR="00A60711">
        <w:t xml:space="preserve">interpreted to be </w:t>
      </w:r>
      <w:r>
        <w:t xml:space="preserve">proportional to the ratio of the voltages from the plates, expressed in </w:t>
      </w:r>
      <w:proofErr w:type="gramStart"/>
      <w:r>
        <w:t>dB’s</w:t>
      </w:r>
      <w:proofErr w:type="gramEnd"/>
      <w:r>
        <w:t>:</w:t>
      </w:r>
    </w:p>
    <w:p w:rsidR="00D67DFB" w:rsidRPr="00D67DFB" w:rsidRDefault="00EF7395">
      <m:oMathPara>
        <m:oMath>
          <m:sSub>
            <m:sSubPr>
              <m:ctrlPr>
                <w:rPr>
                  <w:rFonts w:ascii="Cambria Math" w:eastAsiaTheme="minorHAnsi" w:hAnsi="Cambria Math" w:cs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V</m:t>
              </m:r>
            </m:e>
            <m:sub>
              <m:r>
                <w:rPr>
                  <w:rFonts w:ascii="Cambria Math" w:hAnsi="Cambria Math" w:cs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 xml:space="preserve">=k (20 </m:t>
          </m:r>
          <m:func>
            <m:funcPr>
              <m:ctrlPr>
                <w:rPr>
                  <w:rFonts w:ascii="Cambria Math" w:eastAsiaTheme="minorHAnsi" w:hAnsi="Cambria Math" w:cs="Cambria Math"/>
                  <w:sz w:val="22"/>
                  <w:szCs w:val="22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HAnsi" w:hAnsi="Cambria Math" w:cs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10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HAnsi" w:hAnsi="Cambria Math" w:cs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HAnsi" w:hAnsi="Cambria Math" w:cs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Cambria Math"/>
                </w:rPr>
                <m:t>)</m:t>
              </m:r>
            </m:e>
          </m:func>
        </m:oMath>
      </m:oMathPara>
    </w:p>
    <w:p w:rsidR="00D67DFB" w:rsidRDefault="00D67DFB">
      <w:r>
        <w:t>Where:</w:t>
      </w:r>
    </w:p>
    <w:p w:rsidR="00DE6A2D" w:rsidRPr="00D67DFB" w:rsidRDefault="00DE6A2D" w:rsidP="00DE6A2D">
      <w:pPr>
        <w:pStyle w:val="ListParagraph"/>
        <w:numPr>
          <w:ilvl w:val="0"/>
          <w:numId w:val="1"/>
        </w:numPr>
        <w:rPr>
          <w:rFonts w:eastAsiaTheme="minorHAnsi"/>
        </w:rPr>
      </w:pPr>
      <w:proofErr w:type="spellStart"/>
      <w:r w:rsidRPr="00D67DFB">
        <w:rPr>
          <w:i/>
        </w:rPr>
        <w:t>V</w:t>
      </w:r>
      <w:r w:rsidRPr="00D67DFB">
        <w:rPr>
          <w:i/>
          <w:vertAlign w:val="subscript"/>
        </w:rPr>
        <w:t>m</w:t>
      </w:r>
      <w:proofErr w:type="spellEnd"/>
      <w:r>
        <w:t xml:space="preserve"> is the voltage that the module produces</w:t>
      </w:r>
    </w:p>
    <w:p w:rsidR="007C2924" w:rsidRPr="007C2924" w:rsidRDefault="007C2924" w:rsidP="00D67DFB">
      <w:pPr>
        <w:pStyle w:val="ListParagraph"/>
        <w:numPr>
          <w:ilvl w:val="0"/>
          <w:numId w:val="1"/>
        </w:numPr>
        <w:rPr>
          <w:rFonts w:eastAsiaTheme="minorHAnsi"/>
        </w:rPr>
      </w:pPr>
      <w:r>
        <w:t>k is a constant</w:t>
      </w:r>
      <w:r w:rsidR="005016D3">
        <w:rPr>
          <w:rStyle w:val="FootnoteReference"/>
        </w:rPr>
        <w:footnoteReference w:id="1"/>
      </w:r>
    </w:p>
    <w:p w:rsidR="00D67DFB" w:rsidRPr="007C2924" w:rsidRDefault="00DE6A2D" w:rsidP="007C2924">
      <w:pPr>
        <w:pStyle w:val="ListParagraph"/>
        <w:numPr>
          <w:ilvl w:val="1"/>
          <w:numId w:val="1"/>
        </w:numPr>
        <w:rPr>
          <w:rFonts w:eastAsiaTheme="minorHAnsi"/>
        </w:rPr>
      </w:pPr>
      <w:r>
        <w:t>for the old Linac BPM</w:t>
      </w:r>
      <w:r w:rsidR="00D67DFB" w:rsidRPr="00D67DFB">
        <w:t xml:space="preserve"> modules</w:t>
      </w:r>
      <w:r w:rsidR="00DF602E">
        <w:t xml:space="preserve"> (1988)</w:t>
      </w:r>
      <w:r w:rsidR="007C2924">
        <w:t>, this</w:t>
      </w:r>
      <w:r w:rsidR="00D67DFB" w:rsidRPr="00D67DFB">
        <w:t xml:space="preserve"> was 0.18 Volts/dB</w:t>
      </w:r>
    </w:p>
    <w:p w:rsidR="007C2924" w:rsidRPr="00D67DFB" w:rsidRDefault="007C2924" w:rsidP="007C2924">
      <w:pPr>
        <w:pStyle w:val="ListParagraph"/>
        <w:numPr>
          <w:ilvl w:val="1"/>
          <w:numId w:val="1"/>
        </w:numPr>
        <w:rPr>
          <w:rFonts w:eastAsiaTheme="minorHAnsi"/>
        </w:rPr>
      </w:pPr>
      <w:r>
        <w:t>for the new BPM modules</w:t>
      </w:r>
      <w:r w:rsidR="00DF602E">
        <w:t xml:space="preserve"> (1991)</w:t>
      </w:r>
      <w:r>
        <w:t xml:space="preserve">, this was </w:t>
      </w:r>
      <w:r w:rsidR="00DF602E">
        <w:t>0.092</w:t>
      </w:r>
      <w:r>
        <w:t xml:space="preserve"> V</w:t>
      </w:r>
      <w:r w:rsidR="00783A92">
        <w:t>olts</w:t>
      </w:r>
      <w:r>
        <w:t>/dB</w:t>
      </w:r>
    </w:p>
    <w:p w:rsidR="00D67DFB" w:rsidRPr="00D67DFB" w:rsidRDefault="00D67DFB" w:rsidP="00D67DFB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D67DFB">
        <w:rPr>
          <w:i/>
        </w:rPr>
        <w:t>V</w:t>
      </w:r>
      <w:r w:rsidRPr="00D67DFB">
        <w:rPr>
          <w:i/>
          <w:vertAlign w:val="subscript"/>
        </w:rPr>
        <w:t>1</w:t>
      </w:r>
      <w:r>
        <w:t xml:space="preserve"> and </w:t>
      </w:r>
      <w:r w:rsidRPr="00D67DFB">
        <w:rPr>
          <w:i/>
        </w:rPr>
        <w:t>V</w:t>
      </w:r>
      <w:r w:rsidRPr="00D67DFB">
        <w:rPr>
          <w:i/>
          <w:vertAlign w:val="subscript"/>
        </w:rPr>
        <w:t>2</w:t>
      </w:r>
      <w:r>
        <w:t xml:space="preserve"> are the voltages from the opposite plates of the BPM</w:t>
      </w:r>
    </w:p>
    <w:p w:rsidR="00D67DFB" w:rsidRDefault="00D67DFB" w:rsidP="00D67DFB">
      <w:r>
        <w:t>The new modules produce an integer value</w:t>
      </w:r>
      <w:r w:rsidR="00DE6A2D">
        <w:t xml:space="preserve">, </w:t>
      </w:r>
      <w:r w:rsidR="00DE6A2D" w:rsidRPr="00DE6A2D">
        <w:rPr>
          <w:i/>
        </w:rPr>
        <w:t>C</w:t>
      </w:r>
      <w:r w:rsidR="00DE6A2D">
        <w:t xml:space="preserve">, </w:t>
      </w:r>
      <w:r w:rsidR="003477DF">
        <w:t>which</w:t>
      </w:r>
      <w:r>
        <w:t xml:space="preserve"> is equal to the difference of the plate voltages over their sum:</w:t>
      </w:r>
    </w:p>
    <w:p w:rsidR="00D67DFB" w:rsidRPr="00D67DFB" w:rsidRDefault="00D67DFB" w:rsidP="00D67DFB">
      <m:oMathPara>
        <m:oMath>
          <m:r>
            <w:rPr>
              <w:rFonts w:ascii="Cambria Math" w:hAnsi="Cambria Math" w:cs="Cambria Math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</w:rPr>
            <m:t xml:space="preserve">=32768 </m:t>
          </m:r>
          <m:d>
            <m:dPr>
              <m:ctrlPr>
                <w:rPr>
                  <w:rFonts w:ascii="Cambria Math" w:eastAsiaTheme="minorHAnsi" w:hAnsi="Cambria Math" w:cs="Cambria Math"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 w:cs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mbria Math"/>
            </w:rPr>
            <m:t>/</m:t>
          </m:r>
          <m:d>
            <m:dPr>
              <m:ctrlPr>
                <w:rPr>
                  <w:rFonts w:ascii="Cambria Math" w:eastAsiaTheme="minorHAnsi" w:hAnsi="Cambria Math" w:cs="Cambria Math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</m:e>
          </m:d>
        </m:oMath>
      </m:oMathPara>
    </w:p>
    <w:p w:rsidR="00D67DFB" w:rsidRDefault="00D67DFB" w:rsidP="00D67DFB">
      <w:r>
        <w:t>Where:</w:t>
      </w:r>
    </w:p>
    <w:p w:rsidR="00D67DFB" w:rsidRPr="00D67DFB" w:rsidRDefault="00D67DFB" w:rsidP="00D67DFB">
      <w:pPr>
        <w:pStyle w:val="ListParagraph"/>
        <w:numPr>
          <w:ilvl w:val="0"/>
          <w:numId w:val="1"/>
        </w:numPr>
        <w:rPr>
          <w:rFonts w:eastAsiaTheme="minorHAnsi"/>
        </w:rPr>
      </w:pPr>
      <w:r>
        <w:t>32768 is the maximum count of a signed 16-bit word (2</w:t>
      </w:r>
      <w:r>
        <w:rPr>
          <w:vertAlign w:val="superscript"/>
        </w:rPr>
        <w:t>15</w:t>
      </w:r>
      <w:r>
        <w:t>)</w:t>
      </w:r>
      <w:r w:rsidRPr="00D67DFB">
        <w:rPr>
          <w:i/>
        </w:rPr>
        <w:t xml:space="preserve"> </w:t>
      </w:r>
    </w:p>
    <w:p w:rsidR="00D67DFB" w:rsidRPr="00D67DFB" w:rsidRDefault="00D67DFB" w:rsidP="00D67DFB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D67DFB">
        <w:rPr>
          <w:i/>
        </w:rPr>
        <w:t>V</w:t>
      </w:r>
      <w:r w:rsidRPr="00D67DFB">
        <w:rPr>
          <w:i/>
          <w:vertAlign w:val="subscript"/>
        </w:rPr>
        <w:t>1</w:t>
      </w:r>
      <w:r>
        <w:t xml:space="preserve"> and </w:t>
      </w:r>
      <w:r w:rsidRPr="00D67DFB">
        <w:rPr>
          <w:i/>
        </w:rPr>
        <w:t>V</w:t>
      </w:r>
      <w:r w:rsidRPr="00D67DFB">
        <w:rPr>
          <w:i/>
          <w:vertAlign w:val="subscript"/>
        </w:rPr>
        <w:t>2</w:t>
      </w:r>
      <w:r>
        <w:t xml:space="preserve"> are the voltages from the opposite plates of the BPM</w:t>
      </w:r>
    </w:p>
    <w:p w:rsidR="007C2924" w:rsidRDefault="003477DF" w:rsidP="00D67DFB">
      <w:r>
        <w:t>O</w:t>
      </w:r>
      <w:r w:rsidR="00783A92">
        <w:t xml:space="preserve">ne </w:t>
      </w:r>
      <w:r>
        <w:t xml:space="preserve">can </w:t>
      </w:r>
      <w:r w:rsidR="00783A92">
        <w:t>write down</w:t>
      </w:r>
      <w:r w:rsidR="007C2924">
        <w:t xml:space="preserve"> </w:t>
      </w:r>
      <w:r>
        <w:t>a</w:t>
      </w:r>
      <w:r w:rsidR="007C2924">
        <w:t xml:space="preserve"> series of factors for the new BPM system (where “</w:t>
      </w:r>
      <w:proofErr w:type="spellStart"/>
      <w:r w:rsidR="007C2924">
        <w:t>DoS</w:t>
      </w:r>
      <w:proofErr w:type="spellEnd"/>
      <w:r w:rsidR="007C2924">
        <w:t>” means “</w:t>
      </w:r>
      <w:r>
        <w:t>diff/</w:t>
      </w:r>
      <w:r w:rsidR="007C2924">
        <w:t>sum value”</w:t>
      </w:r>
      <w:r w:rsidR="00ED0BCF">
        <w:t xml:space="preserve"> and “Val” means a </w:t>
      </w:r>
      <w:proofErr w:type="spellStart"/>
      <w:r w:rsidR="00ED0BCF">
        <w:t>unitless</w:t>
      </w:r>
      <w:proofErr w:type="spellEnd"/>
      <w:r w:rsidR="00ED0BCF">
        <w:t xml:space="preserve"> value from the BPM module readout</w:t>
      </w:r>
      <w:r w:rsidR="00226E87">
        <w:t xml:space="preserve">, 32768 full </w:t>
      </w:r>
      <w:proofErr w:type="gramStart"/>
      <w:r w:rsidR="00226E87">
        <w:t>scale</w:t>
      </w:r>
      <w:proofErr w:type="gramEnd"/>
      <w:r w:rsidR="007C2924">
        <w:t>):</w:t>
      </w:r>
    </w:p>
    <w:p w:rsidR="00BE3F8F" w:rsidRDefault="00BE3F8F" w:rsidP="00BE3F8F">
      <w:pPr>
        <w:jc w:val="center"/>
        <w:rPr>
          <w:i/>
        </w:rPr>
      </w:pPr>
      <w:proofErr w:type="spellStart"/>
      <w:r>
        <w:t>P</w:t>
      </w:r>
      <w:r>
        <w:rPr>
          <w:vertAlign w:val="subscript"/>
        </w:rPr>
        <w:t>controls</w:t>
      </w:r>
      <w:proofErr w:type="spellEnd"/>
      <w:r>
        <w:t xml:space="preserve"> </w:t>
      </w:r>
      <w:r w:rsidRPr="007C2924">
        <w:rPr>
          <w:i/>
        </w:rPr>
        <w:t>[mm]</w:t>
      </w:r>
      <w:r>
        <w:t xml:space="preserve"> = </w:t>
      </w:r>
      <w:proofErr w:type="spellStart"/>
      <w:r>
        <w:t>K</w:t>
      </w:r>
      <w:r w:rsidRPr="007C2924">
        <w:rPr>
          <w:vertAlign w:val="subscript"/>
        </w:rPr>
        <w:t>controls</w:t>
      </w:r>
      <w:proofErr w:type="spellEnd"/>
      <w:r>
        <w:t xml:space="preserve"> </w:t>
      </w:r>
      <w:r>
        <w:rPr>
          <w:i/>
        </w:rPr>
        <w:t xml:space="preserve">[mm/Val] </w:t>
      </w:r>
      <w:r>
        <w:t xml:space="preserve">* </w:t>
      </w:r>
      <w:proofErr w:type="spellStart"/>
      <w:r>
        <w:t>K</w:t>
      </w:r>
      <w:r>
        <w:rPr>
          <w:vertAlign w:val="subscript"/>
        </w:rPr>
        <w:t>electronics</w:t>
      </w:r>
      <w:proofErr w:type="spellEnd"/>
      <w:r>
        <w:t xml:space="preserve"> </w:t>
      </w:r>
      <w:r>
        <w:rPr>
          <w:i/>
        </w:rPr>
        <w:t>[Val/</w:t>
      </w:r>
      <w:proofErr w:type="spellStart"/>
      <w:r>
        <w:rPr>
          <w:i/>
        </w:rPr>
        <w:t>DoS</w:t>
      </w:r>
      <w:proofErr w:type="spellEnd"/>
      <w:r>
        <w:rPr>
          <w:i/>
        </w:rPr>
        <w:t xml:space="preserve">] </w:t>
      </w:r>
      <w:r>
        <w:t xml:space="preserve">* </w:t>
      </w:r>
      <w:proofErr w:type="spellStart"/>
      <w:r>
        <w:t>K</w:t>
      </w:r>
      <w:r>
        <w:rPr>
          <w:vertAlign w:val="subscript"/>
        </w:rPr>
        <w:t>BPMResponse</w:t>
      </w:r>
      <w:proofErr w:type="spellEnd"/>
      <w:r>
        <w:t xml:space="preserve"> </w:t>
      </w:r>
      <w:r>
        <w:rPr>
          <w:i/>
        </w:rPr>
        <w:t>[</w:t>
      </w:r>
      <w:proofErr w:type="spellStart"/>
      <w:r>
        <w:rPr>
          <w:i/>
        </w:rPr>
        <w:t>DoS</w:t>
      </w:r>
      <w:proofErr w:type="spellEnd"/>
      <w:r>
        <w:rPr>
          <w:i/>
        </w:rPr>
        <w:t xml:space="preserve">/mm] </w:t>
      </w:r>
      <w:r w:rsidRPr="00DD4129">
        <w:t>*</w:t>
      </w:r>
      <w:r>
        <w:rPr>
          <w:i/>
        </w:rPr>
        <w:t xml:space="preserve"> </w:t>
      </w:r>
      <w:proofErr w:type="spellStart"/>
      <w:r>
        <w:t>P</w:t>
      </w:r>
      <w:r>
        <w:rPr>
          <w:vertAlign w:val="subscript"/>
        </w:rPr>
        <w:t>real</w:t>
      </w:r>
      <w:proofErr w:type="spellEnd"/>
      <w:r>
        <w:t xml:space="preserve"> </w:t>
      </w:r>
      <w:r>
        <w:rPr>
          <w:i/>
        </w:rPr>
        <w:t>[mm]</w:t>
      </w:r>
    </w:p>
    <w:p w:rsidR="0022240C" w:rsidRDefault="0022240C" w:rsidP="00BE3F8F">
      <w:r>
        <w:t xml:space="preserve">In a perfect world, the product of the three K constants will be 1.0.  </w:t>
      </w:r>
    </w:p>
    <w:p w:rsidR="00BE3F8F" w:rsidRDefault="004F645A" w:rsidP="00BE3F8F">
      <w:r>
        <w:lastRenderedPageBreak/>
        <w:t>Since the new modules calculate the difference-over-sum directly</w:t>
      </w:r>
      <w:r w:rsidR="003477DF">
        <w:t xml:space="preserve"> and the conversion to a control system voltage is trivial</w:t>
      </w:r>
      <w:r>
        <w:t>, one constant is unnecessary:</w:t>
      </w:r>
    </w:p>
    <w:p w:rsidR="00BE3F8F" w:rsidRDefault="00BE3F8F" w:rsidP="00BE3F8F">
      <w:pPr>
        <w:jc w:val="center"/>
        <w:rPr>
          <w:i/>
        </w:rPr>
      </w:pPr>
      <w:proofErr w:type="spellStart"/>
      <w:r>
        <w:t>P</w:t>
      </w:r>
      <w:r>
        <w:rPr>
          <w:vertAlign w:val="subscript"/>
        </w:rPr>
        <w:t>controls</w:t>
      </w:r>
      <w:proofErr w:type="spellEnd"/>
      <w:r>
        <w:t xml:space="preserve"> </w:t>
      </w:r>
      <w:r w:rsidRPr="007C2924">
        <w:rPr>
          <w:i/>
        </w:rPr>
        <w:t>[mm]</w:t>
      </w:r>
      <w:r>
        <w:t xml:space="preserve"> = </w:t>
      </w:r>
      <w:proofErr w:type="spellStart"/>
      <w:r>
        <w:t>K</w:t>
      </w:r>
      <w:r w:rsidRPr="007C2924">
        <w:rPr>
          <w:vertAlign w:val="subscript"/>
        </w:rPr>
        <w:t>controls</w:t>
      </w:r>
      <w:proofErr w:type="spellEnd"/>
      <w:r>
        <w:t xml:space="preserve"> </w:t>
      </w:r>
      <w:r>
        <w:rPr>
          <w:i/>
        </w:rPr>
        <w:t xml:space="preserve">[mm/volts] </w:t>
      </w:r>
      <w:r>
        <w:t xml:space="preserve">* </w:t>
      </w:r>
      <w:proofErr w:type="spellStart"/>
      <w:r>
        <w:t>K</w:t>
      </w:r>
      <w:r>
        <w:rPr>
          <w:vertAlign w:val="subscript"/>
        </w:rPr>
        <w:t>electronics</w:t>
      </w:r>
      <w:proofErr w:type="spellEnd"/>
      <w:r>
        <w:rPr>
          <w:vertAlign w:val="subscript"/>
        </w:rPr>
        <w:t xml:space="preserve"> &amp; BPM</w:t>
      </w:r>
      <w:r>
        <w:t xml:space="preserve"> </w:t>
      </w:r>
      <w:r>
        <w:rPr>
          <w:i/>
        </w:rPr>
        <w:t xml:space="preserve">[volts/mm] </w:t>
      </w:r>
      <w:r w:rsidRPr="00DD4129">
        <w:t>*</w:t>
      </w:r>
      <w:r>
        <w:rPr>
          <w:i/>
        </w:rPr>
        <w:t xml:space="preserve"> </w:t>
      </w:r>
      <w:proofErr w:type="spellStart"/>
      <w:r>
        <w:t>P</w:t>
      </w:r>
      <w:r>
        <w:rPr>
          <w:vertAlign w:val="subscript"/>
        </w:rPr>
        <w:t>real</w:t>
      </w:r>
      <w:proofErr w:type="spellEnd"/>
      <w:r>
        <w:t xml:space="preserve"> </w:t>
      </w:r>
      <w:r>
        <w:rPr>
          <w:i/>
        </w:rPr>
        <w:t>[mm]</w:t>
      </w:r>
    </w:p>
    <w:p w:rsidR="004F645A" w:rsidRDefault="004F645A" w:rsidP="004F645A">
      <w:r>
        <w:t>Setting</w:t>
      </w:r>
      <w:r w:rsidRPr="004F645A">
        <w:t xml:space="preserve"> </w:t>
      </w:r>
      <w:proofErr w:type="spellStart"/>
      <w:r>
        <w:t>P</w:t>
      </w:r>
      <w:r>
        <w:rPr>
          <w:vertAlign w:val="subscript"/>
        </w:rPr>
        <w:t>controls</w:t>
      </w:r>
      <w:proofErr w:type="spellEnd"/>
      <w:r>
        <w:rPr>
          <w:vertAlign w:val="subscript"/>
        </w:rPr>
        <w:t xml:space="preserve"> </w:t>
      </w:r>
      <w:r w:rsidRPr="004F645A">
        <w:t xml:space="preserve">= </w:t>
      </w:r>
      <w:proofErr w:type="spellStart"/>
      <w:r>
        <w:t>P</w:t>
      </w:r>
      <w:r>
        <w:rPr>
          <w:vertAlign w:val="subscript"/>
        </w:rPr>
        <w:t>real</w:t>
      </w:r>
      <w:proofErr w:type="spellEnd"/>
      <w:r>
        <w:t xml:space="preserve"> </w:t>
      </w:r>
      <w:r w:rsidR="0022240C">
        <w:t xml:space="preserve">(an ideal world), </w:t>
      </w:r>
      <w:r>
        <w:t xml:space="preserve">we have: </w:t>
      </w:r>
    </w:p>
    <w:p w:rsidR="004F645A" w:rsidRDefault="004F645A" w:rsidP="004F645A">
      <w:pPr>
        <w:jc w:val="center"/>
        <w:rPr>
          <w:i/>
        </w:rPr>
      </w:pPr>
      <w:proofErr w:type="spellStart"/>
      <w:r>
        <w:t>K</w:t>
      </w:r>
      <w:r w:rsidRPr="007C2924">
        <w:rPr>
          <w:vertAlign w:val="subscript"/>
        </w:rPr>
        <w:t>controls</w:t>
      </w:r>
      <w:proofErr w:type="spellEnd"/>
      <w:r>
        <w:t xml:space="preserve"> </w:t>
      </w:r>
      <w:r>
        <w:rPr>
          <w:i/>
        </w:rPr>
        <w:t xml:space="preserve">[mm/volts] </w:t>
      </w:r>
      <w:r>
        <w:t xml:space="preserve">= 1 / </w:t>
      </w:r>
      <w:proofErr w:type="spellStart"/>
      <w:r>
        <w:t>K</w:t>
      </w:r>
      <w:r>
        <w:rPr>
          <w:vertAlign w:val="subscript"/>
        </w:rPr>
        <w:t>electronics</w:t>
      </w:r>
      <w:proofErr w:type="spellEnd"/>
      <w:r>
        <w:rPr>
          <w:vertAlign w:val="subscript"/>
        </w:rPr>
        <w:t xml:space="preserve"> &amp; BPM</w:t>
      </w:r>
      <w:r>
        <w:t xml:space="preserve"> </w:t>
      </w:r>
      <w:r>
        <w:rPr>
          <w:i/>
        </w:rPr>
        <w:t>[volts/mm]</w:t>
      </w:r>
    </w:p>
    <w:p w:rsidR="003477DF" w:rsidRDefault="0022240C" w:rsidP="003477DF">
      <w:r>
        <w:t xml:space="preserve">There are two equations: One for the geometry of the LEL BPMs and one for the HEL BPMs.  </w:t>
      </w:r>
      <w:r w:rsidR="005016D3">
        <w:t>We sha</w:t>
      </w:r>
      <w:r>
        <w:t xml:space="preserve">ll refer to the </w:t>
      </w:r>
      <w:r w:rsidR="003477DF">
        <w:t>constant</w:t>
      </w:r>
      <w:r>
        <w:t>s</w:t>
      </w:r>
      <w:r w:rsidR="003477DF">
        <w:t xml:space="preserve"> </w:t>
      </w:r>
      <w:r>
        <w:t xml:space="preserve">on the right-hand side of this equation </w:t>
      </w:r>
      <w:r w:rsidR="003477DF">
        <w:t>as KB</w:t>
      </w:r>
      <w:r w:rsidR="003477DF" w:rsidRPr="003477DF">
        <w:rPr>
          <w:vertAlign w:val="subscript"/>
        </w:rPr>
        <w:t>L</w:t>
      </w:r>
      <w:r w:rsidR="003477DF">
        <w:t xml:space="preserve"> and KB</w:t>
      </w:r>
      <w:r w:rsidR="003477DF" w:rsidRPr="003477DF">
        <w:rPr>
          <w:vertAlign w:val="subscript"/>
        </w:rPr>
        <w:t>H</w:t>
      </w:r>
      <w:r w:rsidR="003477DF">
        <w:t>, for the LEL and the HEL BPM responses, respectively.</w:t>
      </w:r>
    </w:p>
    <w:p w:rsidR="003477DF" w:rsidRDefault="003477DF" w:rsidP="003477DF">
      <w:r>
        <w:t>The measured BPM responses are</w:t>
      </w:r>
      <w:r w:rsidR="005016D3">
        <w:rPr>
          <w:rStyle w:val="FootnoteReference"/>
        </w:rPr>
        <w:footnoteReference w:id="2"/>
      </w:r>
      <w:r w:rsidR="000A7302">
        <w:t>: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691"/>
        <w:gridCol w:w="827"/>
      </w:tblGrid>
      <w:tr w:rsidR="003477DF" w:rsidTr="0034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77DF" w:rsidRDefault="003477DF" w:rsidP="003477DF">
            <w:r>
              <w:t>BPM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</w:tr>
      <w:tr w:rsidR="003477DF" w:rsidTr="0034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77DF" w:rsidRDefault="003477DF" w:rsidP="003477DF">
            <w:r>
              <w:t xml:space="preserve">LEL 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1.43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dB/mm</w:t>
            </w:r>
          </w:p>
        </w:tc>
      </w:tr>
      <w:tr w:rsidR="003477DF" w:rsidTr="003477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477DF" w:rsidRDefault="003477DF" w:rsidP="003477DF">
            <w:r>
              <w:t xml:space="preserve">HEL 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1.89</w:t>
            </w:r>
          </w:p>
        </w:tc>
        <w:tc>
          <w:tcPr>
            <w:tcW w:w="0" w:type="auto"/>
          </w:tcPr>
          <w:p w:rsidR="003477DF" w:rsidRDefault="003477DF" w:rsidP="0034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dB/mm</w:t>
            </w:r>
          </w:p>
        </w:tc>
      </w:tr>
    </w:tbl>
    <w:p w:rsidR="003477DF" w:rsidRDefault="003477DF" w:rsidP="003477DF">
      <w:r>
        <w:t xml:space="preserve">As it turns out, </w:t>
      </w:r>
      <w:r w:rsidR="00BC59A4">
        <w:t>EM</w:t>
      </w:r>
      <w:r>
        <w:t xml:space="preserve"> </w:t>
      </w:r>
      <w:r w:rsidR="004043DD">
        <w:t>oversaw the measurement of</w:t>
      </w:r>
      <w:r>
        <w:t xml:space="preserve"> the response of the BPMs in 1988 (</w:t>
      </w:r>
      <w:r w:rsidR="0022240C">
        <w:t>LEL</w:t>
      </w:r>
      <w:r>
        <w:t xml:space="preserve">) and in 1991 (HEL).  These numbers are pulled from </w:t>
      </w:r>
      <w:r w:rsidR="00BC59A4">
        <w:t>his</w:t>
      </w:r>
      <w:r>
        <w:t xml:space="preserve"> log books </w:t>
      </w:r>
      <w:r w:rsidR="0022240C">
        <w:t>from</w:t>
      </w:r>
      <w:r>
        <w:t xml:space="preserve"> that time.</w:t>
      </w:r>
      <w:r w:rsidR="000A7302">
        <w:t xml:space="preserve">  These numbers are averages of the values of the individual BPMs.  There was a range of values for these, but they</w:t>
      </w:r>
      <w:r w:rsidR="0022240C">
        <w:t xml:space="preserve"> varied only by a few percent</w:t>
      </w:r>
      <w:r w:rsidR="000A7302">
        <w:t>.</w:t>
      </w:r>
    </w:p>
    <w:p w:rsidR="00D31AD8" w:rsidRDefault="00A26F3F" w:rsidP="00D31AD8">
      <w:pPr>
        <w:pStyle w:val="Heading1"/>
      </w:pPr>
      <w:r>
        <w:t>The Results</w:t>
      </w:r>
    </w:p>
    <w:p w:rsidR="00D31AD8" w:rsidRDefault="004043DD" w:rsidP="00D31AD8">
      <w:r>
        <w:t>It is easy to convert these “dB/mm” measurements to “diff/sum”/mm values</w:t>
      </w:r>
      <w:r w:rsidR="00A26F3F">
        <w:t>.</w:t>
      </w:r>
    </w:p>
    <w:p w:rsidR="00D31AD8" w:rsidRDefault="00A26F3F" w:rsidP="00D31AD8">
      <w:r>
        <w:t>If you have ratio in dB, it is converted to a plain ratio in the normal way:</w:t>
      </w:r>
    </w:p>
    <w:p w:rsidR="00D31AD8" w:rsidRPr="00D31AD8" w:rsidRDefault="00D31AD8" w:rsidP="00D31AD8">
      <m:oMathPara>
        <m:oMath>
          <m:r>
            <w:rPr>
              <w:rFonts w:ascii="Cambria Math" w:hAnsi="Cambria Math"/>
            </w:rPr>
            <m:t xml:space="preserve">R=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dB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20</m:t>
                          </m:r>
                        </m:den>
                      </m:f>
                    </m:e>
                  </m:box>
                </m:e>
              </m:d>
            </m:sup>
          </m:sSup>
        </m:oMath>
      </m:oMathPara>
    </w:p>
    <w:p w:rsidR="00A26F3F" w:rsidRDefault="00A26F3F" w:rsidP="00D31AD8">
      <w:r>
        <w:t xml:space="preserve">The ratio of two values, x and </w:t>
      </w:r>
      <w:proofErr w:type="gramStart"/>
      <w:r>
        <w:t>y,</w:t>
      </w:r>
      <w:proofErr w:type="gramEnd"/>
      <w:r>
        <w:t xml:space="preserve"> can be converted to a “diff/sum” with this functional form:</w:t>
      </w:r>
    </w:p>
    <w:p w:rsidR="00D31AD8" w:rsidRPr="00D31AD8" w:rsidRDefault="00D31AD8" w:rsidP="00D31AD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∶=</m:t>
              </m:r>
            </m:e>
          </m:box>
          <m:r>
            <w:rPr>
              <w:rFonts w:ascii="Cambria Math" w:hAnsi="Cambria Math"/>
            </w:rPr>
            <m:t xml:space="preserve"> (Z-1)/(Z+1)</m:t>
          </m:r>
        </m:oMath>
      </m:oMathPara>
    </w:p>
    <w:p w:rsidR="00D31AD8" w:rsidRDefault="00D31AD8" w:rsidP="00D31AD8">
      <w:proofErr w:type="gramStart"/>
      <w:r>
        <w:t xml:space="preserve">Where Z represents </w:t>
      </w:r>
      <w:r w:rsidR="004A729E">
        <w:t>the</w:t>
      </w:r>
      <w:r>
        <w:t xml:space="preserve"> ratio value.</w:t>
      </w:r>
      <w:proofErr w:type="gramEnd"/>
      <w:r>
        <w:t xml:space="preserve">  </w:t>
      </w:r>
      <w:r w:rsidR="004043DD">
        <w:t>Plug in “x/y” for Z to see that this is right:</w:t>
      </w:r>
    </w:p>
    <w:p w:rsidR="00D31AD8" w:rsidRPr="00D31AD8" w:rsidRDefault="00EF7395" w:rsidP="00D31AD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y</m:t>
                  </m:r>
                </m:den>
              </m:f>
              <m:r>
                <w:rPr>
                  <w:rFonts w:ascii="Cambria Math" w:hAnsi="Cambria Math"/>
                </w:rPr>
                <m:t>+ 1</m:t>
              </m:r>
            </m:den>
          </m:f>
          <m:r>
            <w:rPr>
              <w:rFonts w:ascii="Cambria Math" w:hAnsi="Cambria Math"/>
            </w:rPr>
            <m:t>≡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x-y</m:t>
              </m:r>
            </m:num>
            <m:den>
              <m:r>
                <w:rPr>
                  <w:rFonts w:ascii="Cambria Math" w:hAnsi="Cambria Math"/>
                </w:rPr>
                <m:t>x+y</m:t>
              </m:r>
            </m:den>
          </m:f>
        </m:oMath>
      </m:oMathPara>
    </w:p>
    <w:p w:rsidR="004A729E" w:rsidRDefault="004043DD">
      <w:r>
        <w:t>Substitution</w:t>
      </w:r>
      <w:r w:rsidR="00A26F3F">
        <w:t xml:space="preserve"> gives us the answer we are looking for:</w:t>
      </w:r>
    </w:p>
    <w:p w:rsidR="00A26F3F" w:rsidRPr="00A26F3F" w:rsidRDefault="00A26F3F">
      <m:oMathPara>
        <m:oMath>
          <m:r>
            <w:rPr>
              <w:rFonts w:ascii="Cambria Math" w:hAnsi="Cambria Math"/>
            </w:rPr>
            <m:t>DoS=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dB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20</m:t>
                                  </m:r>
                                </m:den>
                              </m:f>
                            </m:e>
                          </m:box>
                        </m:e>
                      </m:d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box>
                        <m:box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 xml:space="preserve">dB 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e>
                      </m:box>
                    </m:e>
                  </m:d>
                </m:sup>
              </m:sSup>
              <m:r>
                <w:rPr>
                  <w:rFonts w:ascii="Cambria Math" w:hAnsi="Cambria Math"/>
                </w:rPr>
                <m:t>+1)</m:t>
              </m:r>
            </m:den>
          </m:f>
        </m:oMath>
      </m:oMathPara>
    </w:p>
    <w:p w:rsidR="00A26F3F" w:rsidRDefault="00A26F3F">
      <w:r>
        <w:t xml:space="preserve">Plug in dB values of 1.43 and 1.89 </w:t>
      </w:r>
      <w:r w:rsidR="004043DD">
        <w:t xml:space="preserve">(representing a 1 mm offset in the BPM) </w:t>
      </w:r>
      <w:r>
        <w:t>yields: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875"/>
        <w:gridCol w:w="2243"/>
      </w:tblGrid>
      <w:tr w:rsidR="00A26F3F" w:rsidTr="00A26F3F">
        <w:trPr>
          <w:jc w:val="center"/>
        </w:trPr>
        <w:tc>
          <w:tcPr>
            <w:tcW w:w="0" w:type="auto"/>
          </w:tcPr>
          <w:p w:rsidR="00A26F3F" w:rsidRDefault="00A26F3F" w:rsidP="00A26F3F">
            <w:r>
              <w:lastRenderedPageBreak/>
              <w:t>LEL</w:t>
            </w:r>
          </w:p>
        </w:tc>
        <w:tc>
          <w:tcPr>
            <w:tcW w:w="0" w:type="auto"/>
          </w:tcPr>
          <w:p w:rsidR="00A26F3F" w:rsidRDefault="00A26F3F" w:rsidP="00A26F3F">
            <w:r>
              <w:t>0.08213</w:t>
            </w:r>
          </w:p>
        </w:tc>
        <w:tc>
          <w:tcPr>
            <w:tcW w:w="0" w:type="auto"/>
            <w:vMerge w:val="restart"/>
            <w:vAlign w:val="center"/>
          </w:tcPr>
          <w:p w:rsidR="00A26F3F" w:rsidRPr="004043DD" w:rsidRDefault="004043DD" w:rsidP="00A26F3F">
            <w:r w:rsidRPr="004043DD">
              <w:t>“diff/sum value” per mm</w:t>
            </w:r>
          </w:p>
        </w:tc>
      </w:tr>
      <w:tr w:rsidR="00A26F3F" w:rsidTr="00A26F3F">
        <w:trPr>
          <w:jc w:val="center"/>
        </w:trPr>
        <w:tc>
          <w:tcPr>
            <w:tcW w:w="0" w:type="auto"/>
          </w:tcPr>
          <w:p w:rsidR="00A26F3F" w:rsidRDefault="00A26F3F" w:rsidP="00A26F3F">
            <w:r>
              <w:t>HEL</w:t>
            </w:r>
          </w:p>
        </w:tc>
        <w:tc>
          <w:tcPr>
            <w:tcW w:w="0" w:type="auto"/>
          </w:tcPr>
          <w:p w:rsidR="00A26F3F" w:rsidRDefault="00A26F3F" w:rsidP="00A26F3F">
            <w:r>
              <w:t>0.10847</w:t>
            </w:r>
          </w:p>
        </w:tc>
        <w:tc>
          <w:tcPr>
            <w:tcW w:w="0" w:type="auto"/>
            <w:vMerge/>
          </w:tcPr>
          <w:p w:rsidR="00A26F3F" w:rsidRDefault="00A26F3F" w:rsidP="00A26F3F"/>
        </w:tc>
      </w:tr>
    </w:tbl>
    <w:p w:rsidR="0000050C" w:rsidRDefault="0000050C" w:rsidP="0000050C">
      <w:r>
        <w:t>Inverting these constants gives the value in mm: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672"/>
        <w:gridCol w:w="536"/>
      </w:tblGrid>
      <w:tr w:rsidR="0000050C" w:rsidTr="0000050C">
        <w:trPr>
          <w:jc w:val="center"/>
        </w:trPr>
        <w:tc>
          <w:tcPr>
            <w:tcW w:w="0" w:type="auto"/>
          </w:tcPr>
          <w:p w:rsidR="0000050C" w:rsidRDefault="0000050C" w:rsidP="00BC59A4">
            <w:r>
              <w:t>LEL</w:t>
            </w:r>
          </w:p>
        </w:tc>
        <w:tc>
          <w:tcPr>
            <w:tcW w:w="0" w:type="auto"/>
          </w:tcPr>
          <w:p w:rsidR="0000050C" w:rsidRDefault="0000050C" w:rsidP="0000050C">
            <w:r>
              <w:t>12.18</w:t>
            </w:r>
          </w:p>
        </w:tc>
        <w:tc>
          <w:tcPr>
            <w:tcW w:w="0" w:type="auto"/>
            <w:vMerge w:val="restart"/>
            <w:vAlign w:val="center"/>
          </w:tcPr>
          <w:p w:rsidR="0000050C" w:rsidRDefault="0000050C" w:rsidP="0000050C">
            <w:r>
              <w:t>mm</w:t>
            </w:r>
          </w:p>
        </w:tc>
      </w:tr>
      <w:tr w:rsidR="0000050C" w:rsidTr="0000050C">
        <w:trPr>
          <w:jc w:val="center"/>
        </w:trPr>
        <w:tc>
          <w:tcPr>
            <w:tcW w:w="0" w:type="auto"/>
          </w:tcPr>
          <w:p w:rsidR="0000050C" w:rsidRDefault="0000050C" w:rsidP="00BC59A4">
            <w:r>
              <w:t>HEL</w:t>
            </w:r>
          </w:p>
        </w:tc>
        <w:tc>
          <w:tcPr>
            <w:tcW w:w="0" w:type="auto"/>
          </w:tcPr>
          <w:p w:rsidR="0000050C" w:rsidRDefault="0000050C" w:rsidP="0000050C">
            <w:r>
              <w:t>9.225</w:t>
            </w:r>
          </w:p>
        </w:tc>
        <w:tc>
          <w:tcPr>
            <w:tcW w:w="0" w:type="auto"/>
            <w:vMerge/>
          </w:tcPr>
          <w:p w:rsidR="0000050C" w:rsidRDefault="0000050C" w:rsidP="0000050C"/>
        </w:tc>
      </w:tr>
    </w:tbl>
    <w:p w:rsidR="004043DD" w:rsidRDefault="004043DD" w:rsidP="004043DD">
      <w:r>
        <w:t>The ACNET control system has various conversion equations</w:t>
      </w:r>
      <w:r w:rsidR="0000050C">
        <w:t xml:space="preserve"> from “raw volts” to engineering units</w:t>
      </w:r>
      <w:r>
        <w:t>.  We use this one:</w:t>
      </w:r>
    </w:p>
    <w:p w:rsidR="004043DD" w:rsidRPr="00783A92" w:rsidRDefault="004043DD" w:rsidP="004043DD">
      <m:oMathPara>
        <m:oMath>
          <m:r>
            <w:rPr>
              <w:rFonts w:ascii="Cambria Math" w:hAnsi="Cambria Math"/>
            </w:rPr>
            <m:t xml:space="preserve">E=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4043DD" w:rsidRDefault="004043DD" w:rsidP="00D67DFB">
      <w:r>
        <w:t>The values for C</w:t>
      </w:r>
      <w:r w:rsidRPr="00783A92">
        <w:rPr>
          <w:vertAlign w:val="subscript"/>
        </w:rPr>
        <w:t>3</w:t>
      </w:r>
      <w:r>
        <w:t xml:space="preserve"> are beyond the scope of this note, so </w:t>
      </w:r>
      <w:r w:rsidR="0000050C">
        <w:t>these will be set to zero</w:t>
      </w:r>
      <w:r>
        <w:t xml:space="preserve">.  </w:t>
      </w:r>
    </w:p>
    <w:p w:rsidR="00783A92" w:rsidRDefault="004043DD" w:rsidP="0000050C">
      <w:r>
        <w:t>In the Linac, we normally use C</w:t>
      </w:r>
      <w:r w:rsidRPr="004043DD">
        <w:rPr>
          <w:vertAlign w:val="subscript"/>
        </w:rPr>
        <w:t>2</w:t>
      </w:r>
      <w:r>
        <w:t>=10.0, which means C</w:t>
      </w:r>
      <w:r w:rsidRPr="004043DD">
        <w:rPr>
          <w:vertAlign w:val="subscript"/>
        </w:rPr>
        <w:t>1</w:t>
      </w:r>
      <w:r>
        <w:t xml:space="preserve"> represents the “full scale” reading of the device.  </w:t>
      </w:r>
      <w:r w:rsidR="0000050C">
        <w:t xml:space="preserve">In the Linac control system, full scale is interpreted as 10.0 volts. </w:t>
      </w:r>
      <w:r w:rsidR="00A41BAD">
        <w:t>That is, w</w:t>
      </w:r>
      <w:r w:rsidR="0000050C">
        <w:t>hen the diff/sum raw reading is full scale, 32768, it will be interpreted as 10.0 volts.  This cancels with the C</w:t>
      </w:r>
      <w:r w:rsidR="0000050C" w:rsidRPr="0000050C">
        <w:rPr>
          <w:vertAlign w:val="subscript"/>
        </w:rPr>
        <w:t>2</w:t>
      </w:r>
      <w:r w:rsidR="0000050C">
        <w:t xml:space="preserve"> in the denominator. Thus</w:t>
      </w:r>
      <w:r w:rsidR="00783A92">
        <w:t>, the values of the constants C</w:t>
      </w:r>
      <w:r w:rsidR="00783A92" w:rsidRPr="004A729E">
        <w:rPr>
          <w:vertAlign w:val="subscript"/>
        </w:rPr>
        <w:t>1</w:t>
      </w:r>
      <w:r w:rsidR="00783A92">
        <w:t xml:space="preserve"> are: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855"/>
      </w:tblGrid>
      <w:tr w:rsidR="00783A92" w:rsidRPr="00783A92" w:rsidTr="00783A92">
        <w:trPr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783A92" w:rsidRPr="00783A92" w:rsidRDefault="00783A92" w:rsidP="00783A92">
            <w:pPr>
              <w:rPr>
                <w:sz w:val="28"/>
              </w:rPr>
            </w:pPr>
            <w:r w:rsidRPr="00783A92">
              <w:rPr>
                <w:sz w:val="28"/>
              </w:rPr>
              <w:t>C</w:t>
            </w:r>
            <w:r w:rsidRPr="00783A92">
              <w:rPr>
                <w:sz w:val="28"/>
                <w:vertAlign w:val="subscript"/>
              </w:rPr>
              <w:t>1</w:t>
            </w:r>
            <w:r w:rsidRPr="00783A92">
              <w:rPr>
                <w:sz w:val="28"/>
              </w:rPr>
              <w:t xml:space="preserve"> (LEL)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:rsidR="00783A92" w:rsidRPr="00783A92" w:rsidRDefault="00C32CF0" w:rsidP="004F645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4F645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="004F645A">
              <w:rPr>
                <w:sz w:val="28"/>
              </w:rPr>
              <w:t>18</w:t>
            </w:r>
          </w:p>
        </w:tc>
      </w:tr>
      <w:tr w:rsidR="00783A92" w:rsidRPr="00783A92" w:rsidTr="00783A92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783A92" w:rsidRPr="00783A92" w:rsidRDefault="00783A92" w:rsidP="00783A92">
            <w:pPr>
              <w:rPr>
                <w:sz w:val="28"/>
              </w:rPr>
            </w:pPr>
            <w:r w:rsidRPr="00783A92">
              <w:rPr>
                <w:sz w:val="28"/>
              </w:rPr>
              <w:t>C</w:t>
            </w:r>
            <w:r w:rsidRPr="00783A92">
              <w:rPr>
                <w:sz w:val="28"/>
                <w:vertAlign w:val="subscript"/>
              </w:rPr>
              <w:t>1</w:t>
            </w:r>
            <w:r w:rsidRPr="00783A92">
              <w:rPr>
                <w:sz w:val="28"/>
              </w:rPr>
              <w:t xml:space="preserve"> (HEL)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783A92" w:rsidRPr="00783A92" w:rsidRDefault="004F645A" w:rsidP="00C32CF0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C32CF0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C32CF0">
              <w:rPr>
                <w:sz w:val="28"/>
              </w:rPr>
              <w:t>25</w:t>
            </w:r>
          </w:p>
        </w:tc>
      </w:tr>
    </w:tbl>
    <w:p w:rsidR="003D72CE" w:rsidRDefault="003D72CE" w:rsidP="00BE3F8F"/>
    <w:p w:rsidR="00E26273" w:rsidRDefault="00241821" w:rsidP="00E26273">
      <w:pPr>
        <w:rPr>
          <w:i/>
        </w:rPr>
      </w:pPr>
      <w:r w:rsidRPr="0022240C">
        <w:rPr>
          <w:b/>
        </w:rPr>
        <w:t>An aside:</w:t>
      </w:r>
      <w:r>
        <w:t xml:space="preserve"> </w:t>
      </w:r>
      <w:r w:rsidR="00E26273">
        <w:t xml:space="preserve">A full scale reading on the BPMs </w:t>
      </w:r>
      <w:r>
        <w:t xml:space="preserve">with this conversion </w:t>
      </w:r>
      <w:r w:rsidR="00ED1486">
        <w:t>is</w:t>
      </w:r>
      <w:r w:rsidR="00E26273">
        <w:t xml:space="preserve"> </w:t>
      </w:r>
      <w:r w:rsidR="0022240C">
        <w:t>12.2 or 9.2</w:t>
      </w:r>
      <w:r w:rsidR="00E26273">
        <w:t xml:space="preserve"> mm.  This is not right; </w:t>
      </w:r>
      <w:r w:rsidR="0022240C">
        <w:t>a</w:t>
      </w:r>
      <w:r w:rsidR="00E26273">
        <w:t xml:space="preserve"> BPM </w:t>
      </w:r>
      <w:r w:rsidR="0022240C">
        <w:t xml:space="preserve">diff/sum </w:t>
      </w:r>
      <w:r w:rsidR="00E26273">
        <w:t xml:space="preserve">“voltage” </w:t>
      </w:r>
      <w:r w:rsidR="0022240C">
        <w:t xml:space="preserve">should </w:t>
      </w:r>
      <w:r w:rsidR="00E26273">
        <w:t>roll off as th</w:t>
      </w:r>
      <w:r w:rsidR="00ED1486">
        <w:t>e beam gets closer to one plate</w:t>
      </w:r>
      <w:r>
        <w:t>.</w:t>
      </w:r>
      <w:r w:rsidR="00445EEE">
        <w:t xml:space="preserve">  </w:t>
      </w:r>
      <w:r>
        <w:rPr>
          <w:i/>
        </w:rPr>
        <w:t>Future work!</w:t>
      </w:r>
    </w:p>
    <w:p w:rsidR="0092689B" w:rsidRDefault="0092689B" w:rsidP="0092689B">
      <w:pPr>
        <w:pStyle w:val="Heading1"/>
      </w:pPr>
      <w:r>
        <w:t>400 MeV Line BPMs</w:t>
      </w:r>
    </w:p>
    <w:p w:rsidR="0092689B" w:rsidRDefault="0092689B" w:rsidP="0092689B">
      <w:r>
        <w:t>According to R. Webber</w:t>
      </w:r>
      <w:r>
        <w:rPr>
          <w:rStyle w:val="FootnoteReference"/>
        </w:rPr>
        <w:footnoteReference w:id="3"/>
      </w:r>
      <w:r>
        <w:t>, the sensitivity of the Booster BPMs is</w:t>
      </w:r>
    </w:p>
    <w:p w:rsidR="0092689B" w:rsidRDefault="0092689B" w:rsidP="0092689B">
      <w:pPr>
        <w:jc w:val="center"/>
      </w:pPr>
      <w:proofErr w:type="gramStart"/>
      <w:r>
        <w:t>0.48 dB/mm (200 MHz beam)</w:t>
      </w:r>
      <w:proofErr w:type="gramEnd"/>
    </w:p>
    <w:p w:rsidR="00EF7395" w:rsidRDefault="00EF7395" w:rsidP="0092689B">
      <w:r>
        <w:t xml:space="preserve">According to </w:t>
      </w:r>
      <w:proofErr w:type="spellStart"/>
      <w:r>
        <w:t>Drennan</w:t>
      </w:r>
      <w:proofErr w:type="spellEnd"/>
      <w:r>
        <w:rPr>
          <w:rStyle w:val="FootnoteReference"/>
        </w:rPr>
        <w:footnoteReference w:id="4"/>
      </w:r>
      <w:r>
        <w:t>, this sensitivity is slightly different:</w:t>
      </w:r>
    </w:p>
    <w:p w:rsidR="00EF7395" w:rsidRDefault="00EF7395" w:rsidP="00EF7395">
      <w:pPr>
        <w:jc w:val="center"/>
      </w:pPr>
      <w:proofErr w:type="gramStart"/>
      <w:r>
        <w:t>0.476 dB/mm</w:t>
      </w:r>
      <w:proofErr w:type="gramEnd"/>
    </w:p>
    <w:p w:rsidR="0092689B" w:rsidRDefault="0092689B" w:rsidP="0092689B">
      <w:r>
        <w:t>Plugging this into the formulae above yields:</w:t>
      </w:r>
    </w:p>
    <w:p w:rsidR="0092689B" w:rsidRDefault="0092689B" w:rsidP="0092689B">
      <w:pPr>
        <w:jc w:val="center"/>
      </w:pPr>
      <w:r>
        <w:t>0.02762 “diff/sum” per mm</w:t>
      </w:r>
      <w:r w:rsidR="00EF7395">
        <w:t xml:space="preserve"> (0.02739, </w:t>
      </w:r>
      <w:proofErr w:type="spellStart"/>
      <w:r w:rsidR="00EF7395">
        <w:t>Drennan</w:t>
      </w:r>
      <w:proofErr w:type="spellEnd"/>
      <w:r w:rsidR="00EF7395">
        <w:t>)</w:t>
      </w:r>
    </w:p>
    <w:p w:rsidR="0092689B" w:rsidRDefault="0092689B" w:rsidP="0092689B">
      <w:proofErr w:type="gramStart"/>
      <w:r>
        <w:t>or</w:t>
      </w:r>
      <w:proofErr w:type="gramEnd"/>
    </w:p>
    <w:p w:rsidR="0092689B" w:rsidRDefault="0092689B" w:rsidP="0092689B">
      <w:pPr>
        <w:jc w:val="center"/>
      </w:pPr>
      <w:r>
        <w:t>36.200 mm (full scale)</w:t>
      </w:r>
      <w:r w:rsidR="00EF7395">
        <w:t xml:space="preserve"> (36.5 mm)</w:t>
      </w:r>
    </w:p>
    <w:p w:rsidR="00EF7395" w:rsidRDefault="00EF7395" w:rsidP="00EF7395">
      <w:pPr>
        <w:pStyle w:val="Heading1"/>
      </w:pPr>
      <w:r>
        <w:lastRenderedPageBreak/>
        <w:t>Summary</w:t>
      </w:r>
    </w:p>
    <w:p w:rsidR="00EF7395" w:rsidRDefault="00EF7395" w:rsidP="00EF7395">
      <w:r>
        <w:t>Here is a summary table of all the BPMs, with their location and scaling factors:</w:t>
      </w:r>
    </w:p>
    <w:tbl>
      <w:tblPr>
        <w:tblStyle w:val="LightList-Accent1"/>
        <w:tblW w:w="7194" w:type="dxa"/>
        <w:jc w:val="center"/>
        <w:tblLook w:val="04A0" w:firstRow="1" w:lastRow="0" w:firstColumn="1" w:lastColumn="0" w:noHBand="0" w:noVBand="1"/>
      </w:tblPr>
      <w:tblGrid>
        <w:gridCol w:w="1320"/>
        <w:gridCol w:w="2260"/>
        <w:gridCol w:w="1817"/>
        <w:gridCol w:w="1797"/>
      </w:tblGrid>
      <w:tr w:rsidR="00EF7395" w:rsidRPr="00EF7395" w:rsidTr="00EF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ACNET Name</w:t>
            </w:r>
          </w:p>
        </w:tc>
        <w:tc>
          <w:tcPr>
            <w:tcW w:w="2260" w:type="dxa"/>
            <w:vAlign w:val="center"/>
            <w:hideMark/>
          </w:tcPr>
          <w:p w:rsidR="00EF7395" w:rsidRPr="00EF7395" w:rsidRDefault="00EF7395" w:rsidP="00EF7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817" w:type="dxa"/>
            <w:vAlign w:val="center"/>
            <w:hideMark/>
          </w:tcPr>
          <w:p w:rsidR="00EF7395" w:rsidRPr="00EF7395" w:rsidRDefault="00EF7395" w:rsidP="00EF7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BPM Raw Scaling [dB/mm]</w:t>
            </w:r>
          </w:p>
        </w:tc>
        <w:tc>
          <w:tcPr>
            <w:tcW w:w="1797" w:type="dxa"/>
            <w:vAlign w:val="center"/>
            <w:hideMark/>
          </w:tcPr>
          <w:p w:rsidR="00EF7395" w:rsidRPr="00EF7395" w:rsidRDefault="00EF7395" w:rsidP="00EF7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Scaling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(Full Scale Value)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L:BPH2OT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  <w:bookmarkStart w:id="0" w:name="_GoBack"/>
        <w:bookmarkEnd w:id="0"/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L:BPV2OT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L:BPHNTF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NTF?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L:BPH3IN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L:BPV3IN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L:BPH3OT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L:BPV3OT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L:BPH4IN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L:BPV4IN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L:UPHNTF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NTF?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L:UPVNTF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NTF?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L:BPH5IN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L:BPV5IN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L:BPH5OT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L:BPV5OT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 Tank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L:D04BPV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Transition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L:D13BPV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1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L:D23BPH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2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L:D32BPV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L:D34BPV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3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L:D44BPV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4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L:D54BPV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5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L:D64BPV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6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L:D71BPH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L:D71BPV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L:D72BPH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L:D72BPV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L:D73BPH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L:D73BPV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 Module 7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L:D74BPH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L:D74BPV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9.228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L:BPH201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L:BPH202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400 MeV Before </w:t>
            </w:r>
            <w:proofErr w:type="spell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</w:t>
            </w:r>
            <w:proofErr w:type="spellEnd"/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L:BPH203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400 MeV Beyond </w:t>
            </w:r>
            <w:proofErr w:type="spell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</w:t>
            </w:r>
            <w:proofErr w:type="spellEnd"/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L:BPH204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Momentum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L:BPV201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L:BPV202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L:BPV203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400 MeV Beyond </w:t>
            </w:r>
            <w:proofErr w:type="spell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</w:t>
            </w:r>
            <w:proofErr w:type="spellEnd"/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L:BPV204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Momentum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9.686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9.686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Straight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B:HPLAM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36.276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B:VPLAM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36.276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B:HPQ4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B:VPQ4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B:HPQ5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B:VPQ5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B:HPQ6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B:VPQ6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B:HPQ7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B:VPQ7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B:HPQ8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B:VPQ8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B:HPQ9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B:VPQ9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B:HPQ10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B:VPQ10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B:VPQ12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B:HPDEB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B:VPDEB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B:HPQ15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B:VPQ15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B:HPQ16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B:VPQ16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B:HPQ17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B:VPQ17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proofErr w:type="gram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:HPINJ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proofErr w:type="gram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:VPINJ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B:HPFOIL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39.852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B:VPFOIL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39.852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B:HPH23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B:VPH23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0.476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36.504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B:HPL1D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B:VPL1D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B:HPS01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B:VPS01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B:HPL1U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25.597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B:VPL1U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0.679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25.597</w:t>
            </w:r>
          </w:p>
        </w:tc>
      </w:tr>
      <w:tr w:rsidR="00EF7395" w:rsidRPr="00EF7395" w:rsidTr="00EF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proofErr w:type="gram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:HPS24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  <w:tr w:rsidR="00EF7395" w:rsidRPr="00EF7395" w:rsidTr="00EF739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vAlign w:val="center"/>
            <w:hideMark/>
          </w:tcPr>
          <w:p w:rsidR="00EF7395" w:rsidRPr="00EF7395" w:rsidRDefault="00EF7395" w:rsidP="00EF739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</w:t>
            </w:r>
            <w:proofErr w:type="gramStart"/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:VPS24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2260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 MeV to Booster</w:t>
            </w:r>
          </w:p>
        </w:tc>
        <w:tc>
          <w:tcPr>
            <w:tcW w:w="181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797" w:type="dxa"/>
            <w:noWrap/>
            <w:vAlign w:val="center"/>
            <w:hideMark/>
          </w:tcPr>
          <w:p w:rsidR="00EF7395" w:rsidRPr="00EF7395" w:rsidRDefault="00EF7395" w:rsidP="00EF7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F73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34.753</w:t>
            </w:r>
          </w:p>
        </w:tc>
      </w:tr>
    </w:tbl>
    <w:p w:rsidR="00EF7395" w:rsidRDefault="00EF7395" w:rsidP="00EF7395"/>
    <w:sectPr w:rsidR="00EF7395" w:rsidSect="005016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9B" w:rsidRDefault="0092689B" w:rsidP="003D72CE">
      <w:pPr>
        <w:spacing w:before="0" w:after="0" w:line="240" w:lineRule="auto"/>
      </w:pPr>
      <w:r>
        <w:separator/>
      </w:r>
    </w:p>
  </w:endnote>
  <w:endnote w:type="continuationSeparator" w:id="0">
    <w:p w:rsidR="0092689B" w:rsidRDefault="0092689B" w:rsidP="003D72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259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89B" w:rsidRDefault="00926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3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689B" w:rsidRDefault="0092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9B" w:rsidRDefault="0092689B" w:rsidP="003D72CE">
      <w:pPr>
        <w:spacing w:before="0" w:after="0" w:line="240" w:lineRule="auto"/>
      </w:pPr>
      <w:r>
        <w:separator/>
      </w:r>
    </w:p>
  </w:footnote>
  <w:footnote w:type="continuationSeparator" w:id="0">
    <w:p w:rsidR="0092689B" w:rsidRDefault="0092689B" w:rsidP="003D72CE">
      <w:pPr>
        <w:spacing w:before="0" w:after="0" w:line="240" w:lineRule="auto"/>
      </w:pPr>
      <w:r>
        <w:continuationSeparator/>
      </w:r>
    </w:p>
  </w:footnote>
  <w:footnote w:id="1">
    <w:p w:rsidR="0092689B" w:rsidRDefault="0092689B" w:rsidP="005016D3">
      <w:pPr>
        <w:pStyle w:val="FootnoteText"/>
      </w:pPr>
      <w:r>
        <w:rPr>
          <w:rStyle w:val="FootnoteReference"/>
        </w:rPr>
        <w:footnoteRef/>
      </w:r>
      <w:r>
        <w:t xml:space="preserve"> These numbers were given to me by R. Webber in 1988 and 1991, and can be found in my log books from the time: “Studies log book #2”, page 42 (August 26, 1993), and “BPMs and Trims”, page 41 (March 11, 1988).</w:t>
      </w:r>
    </w:p>
  </w:footnote>
  <w:footnote w:id="2">
    <w:p w:rsidR="0092689B" w:rsidRDefault="0092689B">
      <w:pPr>
        <w:pStyle w:val="FootnoteText"/>
      </w:pPr>
      <w:r>
        <w:rPr>
          <w:rStyle w:val="FootnoteReference"/>
        </w:rPr>
        <w:footnoteRef/>
      </w:r>
      <w:r>
        <w:t xml:space="preserve"> “Studies log book #2,” page 38 (October 17, 1991) and “BPMs and Trims” logbook, page 41 (March 11, 1988)</w:t>
      </w:r>
    </w:p>
  </w:footnote>
  <w:footnote w:id="3">
    <w:p w:rsidR="0092689B" w:rsidRDefault="009268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gramStart"/>
        <w:r w:rsidRPr="00952513">
          <w:rPr>
            <w:rStyle w:val="Hyperlink"/>
          </w:rPr>
          <w:t>https://beamdocs.fnal.gov/AD-private/DocDB/ShowDocument?docid=2085</w:t>
        </w:r>
      </w:hyperlink>
      <w:r>
        <w:t>, by Bob Webber.</w:t>
      </w:r>
      <w:proofErr w:type="gramEnd"/>
    </w:p>
  </w:footnote>
  <w:footnote w:id="4">
    <w:p w:rsidR="00EF7395" w:rsidRDefault="00EF73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160E9">
          <w:rPr>
            <w:rStyle w:val="Hyperlink"/>
          </w:rPr>
          <w:t>https://beamdocs.fnal.gov/AD-private/DocDB/ShowDocument?docid=3801</w:t>
        </w:r>
      </w:hyperlink>
      <w:r>
        <w:t xml:space="preserve">, by Craig </w:t>
      </w:r>
      <w:proofErr w:type="spellStart"/>
      <w:r>
        <w:t>Drennan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BD8"/>
    <w:multiLevelType w:val="hybridMultilevel"/>
    <w:tmpl w:val="8E7A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114D9"/>
    <w:multiLevelType w:val="hybridMultilevel"/>
    <w:tmpl w:val="EF70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FB"/>
    <w:rsid w:val="0000050C"/>
    <w:rsid w:val="00065628"/>
    <w:rsid w:val="000A7302"/>
    <w:rsid w:val="001B3BE3"/>
    <w:rsid w:val="00205BF4"/>
    <w:rsid w:val="0022240C"/>
    <w:rsid w:val="00226E87"/>
    <w:rsid w:val="00241821"/>
    <w:rsid w:val="0025135F"/>
    <w:rsid w:val="003477DF"/>
    <w:rsid w:val="003D2582"/>
    <w:rsid w:val="003D72CE"/>
    <w:rsid w:val="004043DD"/>
    <w:rsid w:val="00445EEE"/>
    <w:rsid w:val="00471418"/>
    <w:rsid w:val="004A729E"/>
    <w:rsid w:val="004F645A"/>
    <w:rsid w:val="005016D3"/>
    <w:rsid w:val="0056088F"/>
    <w:rsid w:val="005A4DDC"/>
    <w:rsid w:val="005B57FC"/>
    <w:rsid w:val="005D0F13"/>
    <w:rsid w:val="00650B79"/>
    <w:rsid w:val="006851E2"/>
    <w:rsid w:val="00706FCE"/>
    <w:rsid w:val="00783A92"/>
    <w:rsid w:val="007C2924"/>
    <w:rsid w:val="007E7E52"/>
    <w:rsid w:val="008375CE"/>
    <w:rsid w:val="008A7D3C"/>
    <w:rsid w:val="008F2FF7"/>
    <w:rsid w:val="00904FB2"/>
    <w:rsid w:val="00915606"/>
    <w:rsid w:val="0092689B"/>
    <w:rsid w:val="009B1171"/>
    <w:rsid w:val="00A062BD"/>
    <w:rsid w:val="00A26F3F"/>
    <w:rsid w:val="00A41BAD"/>
    <w:rsid w:val="00A60711"/>
    <w:rsid w:val="00AC15C6"/>
    <w:rsid w:val="00BC59A4"/>
    <w:rsid w:val="00BE3F8F"/>
    <w:rsid w:val="00C32CF0"/>
    <w:rsid w:val="00D31AD8"/>
    <w:rsid w:val="00D67DFB"/>
    <w:rsid w:val="00DD4129"/>
    <w:rsid w:val="00DE6A2D"/>
    <w:rsid w:val="00DF602E"/>
    <w:rsid w:val="00E26273"/>
    <w:rsid w:val="00E51BB7"/>
    <w:rsid w:val="00ED0BCF"/>
    <w:rsid w:val="00ED1486"/>
    <w:rsid w:val="00EF7395"/>
    <w:rsid w:val="00F2450D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418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418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418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418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418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418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418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41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41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418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418"/>
    <w:rPr>
      <w:caps/>
      <w:color w:val="D16349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418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1418"/>
    <w:rPr>
      <w:caps/>
      <w:spacing w:val="15"/>
      <w:shd w:val="clear" w:color="auto" w:fill="F5DFD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418"/>
    <w:rPr>
      <w:caps/>
      <w:color w:val="6F2C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4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41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18"/>
    <w:rPr>
      <w:b/>
      <w:bCs/>
      <w:color w:val="A842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41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41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418"/>
    <w:rPr>
      <w:b/>
      <w:bCs/>
    </w:rPr>
  </w:style>
  <w:style w:type="character" w:styleId="Emphasis">
    <w:name w:val="Emphasis"/>
    <w:uiPriority w:val="20"/>
    <w:qFormat/>
    <w:rsid w:val="00471418"/>
    <w:rPr>
      <w:caps/>
      <w:color w:val="6F2C1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141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141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4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41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418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418"/>
    <w:rPr>
      <w:i/>
      <w:iCs/>
      <w:color w:val="D16349" w:themeColor="accent1"/>
      <w:sz w:val="20"/>
      <w:szCs w:val="20"/>
    </w:rPr>
  </w:style>
  <w:style w:type="character" w:styleId="SubtleEmphasis">
    <w:name w:val="Subtle Emphasis"/>
    <w:uiPriority w:val="19"/>
    <w:qFormat/>
    <w:rsid w:val="00471418"/>
    <w:rPr>
      <w:i/>
      <w:iCs/>
      <w:color w:val="6F2C1C" w:themeColor="accent1" w:themeShade="7F"/>
    </w:rPr>
  </w:style>
  <w:style w:type="character" w:styleId="IntenseEmphasis">
    <w:name w:val="Intense Emphasis"/>
    <w:uiPriority w:val="21"/>
    <w:qFormat/>
    <w:rsid w:val="00471418"/>
    <w:rPr>
      <w:b/>
      <w:bCs/>
      <w:caps/>
      <w:color w:val="6F2C1C" w:themeColor="accent1" w:themeShade="7F"/>
      <w:spacing w:val="10"/>
    </w:rPr>
  </w:style>
  <w:style w:type="character" w:styleId="SubtleReference">
    <w:name w:val="Subtle Reference"/>
    <w:uiPriority w:val="31"/>
    <w:qFormat/>
    <w:rsid w:val="00471418"/>
    <w:rPr>
      <w:b/>
      <w:bCs/>
      <w:color w:val="D16349" w:themeColor="accent1"/>
    </w:rPr>
  </w:style>
  <w:style w:type="character" w:styleId="IntenseReference">
    <w:name w:val="Intense Reference"/>
    <w:uiPriority w:val="32"/>
    <w:qFormat/>
    <w:rsid w:val="00471418"/>
    <w:rPr>
      <w:b/>
      <w:bCs/>
      <w:i/>
      <w:iCs/>
      <w:caps/>
      <w:color w:val="D16349" w:themeColor="accent1"/>
    </w:rPr>
  </w:style>
  <w:style w:type="character" w:styleId="BookTitle">
    <w:name w:val="Book Title"/>
    <w:uiPriority w:val="33"/>
    <w:qFormat/>
    <w:rsid w:val="0047141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1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DE6A2D"/>
    <w:rPr>
      <w:color w:val="808080"/>
    </w:rPr>
  </w:style>
  <w:style w:type="table" w:styleId="TableGrid">
    <w:name w:val="Table Grid"/>
    <w:basedOn w:val="TableNormal"/>
    <w:uiPriority w:val="59"/>
    <w:rsid w:val="00AC15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15C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72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2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C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6D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689B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395"/>
    <w:rPr>
      <w:color w:val="694F0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418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418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418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418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418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418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418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41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41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418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418"/>
    <w:rPr>
      <w:caps/>
      <w:color w:val="D16349" w:themeColor="accent1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418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1418"/>
    <w:rPr>
      <w:caps/>
      <w:spacing w:val="15"/>
      <w:shd w:val="clear" w:color="auto" w:fill="F5DFD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418"/>
    <w:rPr>
      <w:caps/>
      <w:color w:val="6F2C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418"/>
    <w:rPr>
      <w:caps/>
      <w:color w:val="A842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4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41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18"/>
    <w:rPr>
      <w:b/>
      <w:bCs/>
      <w:color w:val="A842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41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141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418"/>
    <w:rPr>
      <w:b/>
      <w:bCs/>
    </w:rPr>
  </w:style>
  <w:style w:type="character" w:styleId="Emphasis">
    <w:name w:val="Emphasis"/>
    <w:uiPriority w:val="20"/>
    <w:qFormat/>
    <w:rsid w:val="00471418"/>
    <w:rPr>
      <w:caps/>
      <w:color w:val="6F2C1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141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141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4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141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418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418"/>
    <w:rPr>
      <w:i/>
      <w:iCs/>
      <w:color w:val="D16349" w:themeColor="accent1"/>
      <w:sz w:val="20"/>
      <w:szCs w:val="20"/>
    </w:rPr>
  </w:style>
  <w:style w:type="character" w:styleId="SubtleEmphasis">
    <w:name w:val="Subtle Emphasis"/>
    <w:uiPriority w:val="19"/>
    <w:qFormat/>
    <w:rsid w:val="00471418"/>
    <w:rPr>
      <w:i/>
      <w:iCs/>
      <w:color w:val="6F2C1C" w:themeColor="accent1" w:themeShade="7F"/>
    </w:rPr>
  </w:style>
  <w:style w:type="character" w:styleId="IntenseEmphasis">
    <w:name w:val="Intense Emphasis"/>
    <w:uiPriority w:val="21"/>
    <w:qFormat/>
    <w:rsid w:val="00471418"/>
    <w:rPr>
      <w:b/>
      <w:bCs/>
      <w:caps/>
      <w:color w:val="6F2C1C" w:themeColor="accent1" w:themeShade="7F"/>
      <w:spacing w:val="10"/>
    </w:rPr>
  </w:style>
  <w:style w:type="character" w:styleId="SubtleReference">
    <w:name w:val="Subtle Reference"/>
    <w:uiPriority w:val="31"/>
    <w:qFormat/>
    <w:rsid w:val="00471418"/>
    <w:rPr>
      <w:b/>
      <w:bCs/>
      <w:color w:val="D16349" w:themeColor="accent1"/>
    </w:rPr>
  </w:style>
  <w:style w:type="character" w:styleId="IntenseReference">
    <w:name w:val="Intense Reference"/>
    <w:uiPriority w:val="32"/>
    <w:qFormat/>
    <w:rsid w:val="00471418"/>
    <w:rPr>
      <w:b/>
      <w:bCs/>
      <w:i/>
      <w:iCs/>
      <w:caps/>
      <w:color w:val="D16349" w:themeColor="accent1"/>
    </w:rPr>
  </w:style>
  <w:style w:type="character" w:styleId="BookTitle">
    <w:name w:val="Book Title"/>
    <w:uiPriority w:val="33"/>
    <w:qFormat/>
    <w:rsid w:val="0047141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18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DE6A2D"/>
    <w:rPr>
      <w:color w:val="808080"/>
    </w:rPr>
  </w:style>
  <w:style w:type="table" w:styleId="TableGrid">
    <w:name w:val="Table Grid"/>
    <w:basedOn w:val="TableNormal"/>
    <w:uiPriority w:val="59"/>
    <w:rsid w:val="00AC15C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C15C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D72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2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C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6D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6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689B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395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eamdocs.fnal.gov/AD-private/DocDB/ShowDocument?docid=3801" TargetMode="External"/><Relationship Id="rId1" Type="http://schemas.openxmlformats.org/officeDocument/2006/relationships/hyperlink" Target="https://beamdocs.fnal.gov/AD-private/DocDB/ShowDocument?docid=2085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21C-0C5F-410F-82CF-2F9A3C4F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 S. McCrory</dc:creator>
  <cp:lastModifiedBy>Elliott S. McCrory</cp:lastModifiedBy>
  <cp:revision>21</cp:revision>
  <dcterms:created xsi:type="dcterms:W3CDTF">2012-12-07T19:53:00Z</dcterms:created>
  <dcterms:modified xsi:type="dcterms:W3CDTF">2013-01-23T15:40:00Z</dcterms:modified>
</cp:coreProperties>
</file>