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AE" w:rsidRDefault="00D150AE">
      <w:pPr>
        <w:pStyle w:val="TOCHeading1"/>
      </w:pPr>
    </w:p>
    <w:p w:rsidR="00D150AE" w:rsidRDefault="00D150AE">
      <w:pPr>
        <w:pStyle w:val="TOCHeading1"/>
      </w:pPr>
    </w:p>
    <w:p w:rsidR="00D150AE" w:rsidRDefault="00D150AE">
      <w:pPr>
        <w:pStyle w:val="TOCHeading1"/>
      </w:pPr>
    </w:p>
    <w:p w:rsidR="00D150AE" w:rsidRPr="000F734B" w:rsidRDefault="005437ED" w:rsidP="000F16AC">
      <w:pPr>
        <w:pStyle w:val="TOCHeading1"/>
        <w:jc w:val="center"/>
        <w:rPr>
          <w:color w:val="auto"/>
          <w:sz w:val="56"/>
        </w:rPr>
      </w:pPr>
      <w:r>
        <w:rPr>
          <w:color w:val="auto"/>
          <w:sz w:val="56"/>
        </w:rPr>
        <w:t>Muon Delivery Ring</w:t>
      </w:r>
    </w:p>
    <w:p w:rsidR="000F16AC" w:rsidRDefault="000E5ED6" w:rsidP="000F16AC">
      <w:pPr>
        <w:jc w:val="center"/>
        <w:rPr>
          <w:sz w:val="32"/>
        </w:rPr>
      </w:pPr>
      <w:r>
        <w:rPr>
          <w:sz w:val="32"/>
        </w:rPr>
        <w:t>Project</w:t>
      </w:r>
      <w:r w:rsidR="008A0596">
        <w:rPr>
          <w:sz w:val="32"/>
        </w:rPr>
        <w:t xml:space="preserve"> </w:t>
      </w:r>
      <w:r w:rsidR="000F16AC" w:rsidRPr="000F734B">
        <w:rPr>
          <w:sz w:val="32"/>
        </w:rPr>
        <w:t>Plan</w:t>
      </w:r>
    </w:p>
    <w:p w:rsidR="000F16AC" w:rsidRDefault="00986F99" w:rsidP="000F16AC">
      <w:pPr>
        <w:jc w:val="center"/>
      </w:pPr>
      <w:r>
        <w:rPr>
          <w:sz w:val="32"/>
        </w:rPr>
        <w:t>September</w:t>
      </w:r>
      <w:r w:rsidR="000F16AC">
        <w:rPr>
          <w:sz w:val="32"/>
        </w:rPr>
        <w:t xml:space="preserve"> 20</w:t>
      </w:r>
      <w:r w:rsidR="003A4EDE">
        <w:rPr>
          <w:sz w:val="32"/>
        </w:rPr>
        <w:t>1</w:t>
      </w:r>
      <w:r w:rsidR="000E5ED6">
        <w:rPr>
          <w:sz w:val="32"/>
        </w:rPr>
        <w:t>3</w:t>
      </w:r>
    </w:p>
    <w:p w:rsidR="000F16AC" w:rsidRDefault="000F16AC" w:rsidP="000F16AC"/>
    <w:p w:rsidR="000F16AC" w:rsidRDefault="000F16AC" w:rsidP="000F16AC"/>
    <w:p w:rsidR="000F16AC" w:rsidRDefault="000F16AC" w:rsidP="000F16AC"/>
    <w:bookmarkStart w:id="0" w:name="_GoBack"/>
    <w:bookmarkEnd w:id="0"/>
    <w:p w:rsidR="000F16AC" w:rsidRPr="000F734B" w:rsidRDefault="00E6452E" w:rsidP="000F16AC">
      <w:pPr>
        <w:pStyle w:val="TOC1"/>
      </w:pPr>
      <w:r>
        <w:rPr>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1325880</wp:posOffset>
                </wp:positionV>
                <wp:extent cx="4343400" cy="2400300"/>
                <wp:effectExtent l="0" t="1905" r="0" b="0"/>
                <wp:wrapTight wrapText="bothSides">
                  <wp:wrapPolygon edited="0">
                    <wp:start x="0" y="0"/>
                    <wp:lineTo x="21600" y="0"/>
                    <wp:lineTo x="21600" y="21600"/>
                    <wp:lineTo x="0" y="21600"/>
                    <wp:lineTo x="0" y="0"/>
                  </wp:wrapPolygon>
                </wp:wrapTight>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415" w:rsidRDefault="002E0415" w:rsidP="000F16AC">
                            <w:pPr>
                              <w:rPr>
                                <w:b/>
                                <w:sz w:val="40"/>
                              </w:rPr>
                            </w:pPr>
                          </w:p>
                          <w:p w:rsidR="002E0415" w:rsidRDefault="002E0415" w:rsidP="000F16AC">
                            <w:pPr>
                              <w:jc w:val="center"/>
                              <w:rPr>
                                <w:b/>
                                <w:sz w:val="40"/>
                              </w:rPr>
                            </w:pPr>
                          </w:p>
                          <w:p w:rsidR="002E0415" w:rsidRDefault="002E0415" w:rsidP="000F16AC">
                            <w:pPr>
                              <w:jc w:val="center"/>
                              <w:rPr>
                                <w:b/>
                                <w:sz w:val="40"/>
                              </w:rPr>
                            </w:pPr>
                            <w:r>
                              <w:rPr>
                                <w:b/>
                                <w:noProof/>
                                <w:sz w:val="40"/>
                              </w:rPr>
                              <w:drawing>
                                <wp:inline distT="0" distB="0" distL="0" distR="0">
                                  <wp:extent cx="1546860"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281940"/>
                                          </a:xfrm>
                                          <a:prstGeom prst="rect">
                                            <a:avLst/>
                                          </a:prstGeom>
                                          <a:noFill/>
                                          <a:ln>
                                            <a:noFill/>
                                          </a:ln>
                                        </pic:spPr>
                                      </pic:pic>
                                    </a:graphicData>
                                  </a:graphic>
                                </wp:inline>
                              </w:drawing>
                            </w:r>
                          </w:p>
                          <w:p w:rsidR="002E0415" w:rsidRPr="000F734B" w:rsidRDefault="002E0415" w:rsidP="000F16AC">
                            <w:pPr>
                              <w:jc w:val="center"/>
                              <w:rPr>
                                <w:sz w:val="40"/>
                                <w:u w:val="single"/>
                              </w:rPr>
                            </w:pPr>
                            <w:r w:rsidRPr="000F734B">
                              <w:rPr>
                                <w:sz w:val="40"/>
                                <w:u w:val="single"/>
                              </w:rPr>
                              <w:t>Fermi National Accelerator Laboratory</w:t>
                            </w:r>
                          </w:p>
                          <w:p w:rsidR="002E0415" w:rsidRDefault="002E0415" w:rsidP="000F16AC">
                            <w:pPr>
                              <w:jc w:val="center"/>
                            </w:pPr>
                            <w:r>
                              <w:t>A Department of Energy National Laboratory</w:t>
                            </w:r>
                          </w:p>
                          <w:p w:rsidR="002E0415" w:rsidRDefault="002E0415" w:rsidP="000F16AC">
                            <w:pPr>
                              <w:jc w:val="center"/>
                            </w:pPr>
                            <w:r>
                              <w:t>Managed by Fermi Research Alliance, LLC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3pt;margin-top:104.4pt;width:342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" filled="f" stroked="f">
                <v:textbox inset=",7.2pt,,7.2pt">
                  <w:txbxContent>
                    <w:p w:rsidR="002E0415" w:rsidRDefault="002E0415" w:rsidP="000F16AC">
                      <w:pPr>
                        <w:rPr>
                          <w:b/>
                          <w:sz w:val="40"/>
                        </w:rPr>
                      </w:pPr>
                    </w:p>
                    <w:p w:rsidR="002E0415" w:rsidRDefault="002E0415" w:rsidP="000F16AC">
                      <w:pPr>
                        <w:jc w:val="center"/>
                        <w:rPr>
                          <w:b/>
                          <w:sz w:val="40"/>
                        </w:rPr>
                      </w:pPr>
                    </w:p>
                    <w:p w:rsidR="002E0415" w:rsidRDefault="002E0415" w:rsidP="000F16AC">
                      <w:pPr>
                        <w:jc w:val="center"/>
                        <w:rPr>
                          <w:b/>
                          <w:sz w:val="40"/>
                        </w:rPr>
                      </w:pPr>
                      <w:r>
                        <w:rPr>
                          <w:b/>
                          <w:noProof/>
                          <w:sz w:val="40"/>
                        </w:rPr>
                        <w:drawing>
                          <wp:inline distT="0" distB="0" distL="0" distR="0">
                            <wp:extent cx="1546860"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60" cy="281940"/>
                                    </a:xfrm>
                                    <a:prstGeom prst="rect">
                                      <a:avLst/>
                                    </a:prstGeom>
                                    <a:noFill/>
                                    <a:ln>
                                      <a:noFill/>
                                    </a:ln>
                                  </pic:spPr>
                                </pic:pic>
                              </a:graphicData>
                            </a:graphic>
                          </wp:inline>
                        </w:drawing>
                      </w:r>
                    </w:p>
                    <w:p w:rsidR="002E0415" w:rsidRPr="000F734B" w:rsidRDefault="002E0415" w:rsidP="000F16AC">
                      <w:pPr>
                        <w:jc w:val="center"/>
                        <w:rPr>
                          <w:sz w:val="40"/>
                          <w:u w:val="single"/>
                        </w:rPr>
                      </w:pPr>
                      <w:r w:rsidRPr="000F734B">
                        <w:rPr>
                          <w:sz w:val="40"/>
                          <w:u w:val="single"/>
                        </w:rPr>
                        <w:t>Fermi National Accelerator Laboratory</w:t>
                      </w:r>
                    </w:p>
                    <w:p w:rsidR="002E0415" w:rsidRDefault="002E0415" w:rsidP="000F16AC">
                      <w:pPr>
                        <w:jc w:val="center"/>
                      </w:pPr>
                      <w:r>
                        <w:t>A Department of Energy National Laboratory</w:t>
                      </w:r>
                    </w:p>
                    <w:p w:rsidR="002E0415" w:rsidRDefault="002E0415" w:rsidP="000F16AC">
                      <w:pPr>
                        <w:jc w:val="center"/>
                      </w:pPr>
                      <w:r>
                        <w:t>Managed by Fermi Research Alliance, LLC</w:t>
                      </w:r>
                    </w:p>
                  </w:txbxContent>
                </v:textbox>
                <w10:wrap type="tight"/>
              </v:shape>
            </w:pict>
          </mc:Fallback>
        </mc:AlternateContent>
      </w:r>
      <w:r w:rsidR="000F16AC">
        <w:br w:type="page"/>
      </w: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1828800</wp:posOffset>
                </wp:positionV>
                <wp:extent cx="5600700" cy="1943100"/>
                <wp:effectExtent l="0" t="0" r="0" b="0"/>
                <wp:wrapTight wrapText="bothSides">
                  <wp:wrapPolygon edited="0">
                    <wp:start x="0" y="0"/>
                    <wp:lineTo x="21600" y="0"/>
                    <wp:lineTo x="21600" y="21600"/>
                    <wp:lineTo x="0" y="21600"/>
                    <wp:lineTo x="0" y="0"/>
                  </wp:wrapPolygon>
                </wp:wrapTight>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415" w:rsidRDefault="002E0415" w:rsidP="000F16AC">
                            <w:pPr>
                              <w:jc w:val="both"/>
                            </w:pPr>
                            <w:r>
                              <w:t>The Project</w:t>
                            </w:r>
                            <w:r w:rsidR="005437ED">
                              <w:t xml:space="preserve"> Plan (P</w:t>
                            </w:r>
                            <w:r>
                              <w:t>P) describes the management, control systems, and procedures used by Fermi National Accelerator Laboratory (Fermilab) to meet the technical, cost, and schedule objectives of this project.  This controlling document establishes the basis against which progress will be measured.</w:t>
                            </w:r>
                          </w:p>
                          <w:p w:rsidR="002E0415" w:rsidRDefault="002E0415" w:rsidP="000F16AC">
                            <w:pPr>
                              <w:jc w:val="both"/>
                            </w:pPr>
                          </w:p>
                          <w:p w:rsidR="002E0415" w:rsidRPr="001877B4" w:rsidRDefault="005437ED" w:rsidP="000F16AC">
                            <w:pPr>
                              <w:jc w:val="both"/>
                            </w:pPr>
                            <w:r>
                              <w:t>The P</w:t>
                            </w:r>
                            <w:r w:rsidR="002E0415">
                              <w:t>P is to be viewed as a “living document,” and as such, will be revised when necessary.  The Project Manager is authorized to approve n</w:t>
                            </w:r>
                            <w:r>
                              <w:t>on-substantive changes to the P</w:t>
                            </w:r>
                            <w:r w:rsidR="002E0415">
                              <w:t xml:space="preserve">P (e.g., name changes </w:t>
                            </w:r>
                            <w:r>
                              <w:t>to the positions cited in the P</w:t>
                            </w:r>
                            <w:r w:rsidR="002E0415">
                              <w:t>P), but will inform the DOE Project Director via e-mail of such changes.  Baseline changes will require approval by the Department of Energy’s (DOE) Fermi Area Office.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7pt;margin-top:2in;width:44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" filled="f" stroked="f">
                <v:textbox inset=",7.2pt,,7.2pt">
                  <w:txbxContent>
                    <w:p w:rsidR="002E0415" w:rsidRDefault="002E0415" w:rsidP="000F16AC">
                      <w:pPr>
                        <w:jc w:val="both"/>
                      </w:pPr>
                      <w:r>
                        <w:t>The Project</w:t>
                      </w:r>
                      <w:r w:rsidR="005437ED">
                        <w:t xml:space="preserve"> Plan (P</w:t>
                      </w:r>
                      <w:r>
                        <w:t>P) describes the management, control systems, and procedures used by Fermi National Accelerator Laboratory (Fermilab) to meet the technical, cost, and schedule objectives of this project.  This controlling document establishes the basis against which progress will be measured.</w:t>
                      </w:r>
                    </w:p>
                    <w:p w:rsidR="002E0415" w:rsidRDefault="002E0415" w:rsidP="000F16AC">
                      <w:pPr>
                        <w:jc w:val="both"/>
                      </w:pPr>
                    </w:p>
                    <w:p w:rsidR="002E0415" w:rsidRPr="001877B4" w:rsidRDefault="005437ED" w:rsidP="000F16AC">
                      <w:pPr>
                        <w:jc w:val="both"/>
                      </w:pPr>
                      <w:r>
                        <w:t>The P</w:t>
                      </w:r>
                      <w:r w:rsidR="002E0415">
                        <w:t>P is to be viewed as a “living document,” and as such, will be revised when necessary.  The Project Manager is authorized to approve n</w:t>
                      </w:r>
                      <w:r>
                        <w:t>on-substantive changes to the P</w:t>
                      </w:r>
                      <w:r w:rsidR="002E0415">
                        <w:t xml:space="preserve">P (e.g., name changes </w:t>
                      </w:r>
                      <w:r>
                        <w:t>to the positions cited in the P</w:t>
                      </w:r>
                      <w:r w:rsidR="002E0415">
                        <w:t>P), but will inform the DOE Project Director via e-mail of such changes.  Baseline changes will require approval by the Department of Energy’s (DOE) Fermi Area Office.</w:t>
                      </w:r>
                    </w:p>
                  </w:txbxContent>
                </v:textbox>
                <w10:wrap type="tight"/>
              </v:shape>
            </w:pict>
          </mc:Fallback>
        </mc:AlternateContent>
      </w:r>
      <w:r w:rsidR="000F16AC">
        <w:br w:type="page"/>
      </w:r>
      <w:r w:rsidR="000F16AC">
        <w:lastRenderedPageBreak/>
        <w:t>Table of Contents</w:t>
      </w:r>
    </w:p>
    <w:p w:rsidR="00761258" w:rsidRDefault="000F16AC">
      <w:pPr>
        <w:pStyle w:val="TOC1"/>
        <w:tabs>
          <w:tab w:val="left" w:pos="480"/>
          <w:tab w:val="right" w:pos="9350"/>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365296821" w:history="1">
        <w:r w:rsidR="00761258" w:rsidRPr="00066FE7">
          <w:rPr>
            <w:rStyle w:val="Hyperlink"/>
            <w:noProof/>
          </w:rPr>
          <w:t>A.</w:t>
        </w:r>
        <w:r w:rsidR="00761258">
          <w:rPr>
            <w:rFonts w:asciiTheme="minorHAnsi" w:eastAsiaTheme="minorEastAsia" w:hAnsiTheme="minorHAnsi" w:cstheme="minorBidi"/>
            <w:b w:val="0"/>
            <w:noProof/>
          </w:rPr>
          <w:tab/>
        </w:r>
        <w:r w:rsidR="00761258" w:rsidRPr="00066FE7">
          <w:rPr>
            <w:rStyle w:val="Hyperlink"/>
            <w:noProof/>
          </w:rPr>
          <w:t>Submittal Page</w:t>
        </w:r>
        <w:r w:rsidR="00761258">
          <w:rPr>
            <w:noProof/>
            <w:webHidden/>
          </w:rPr>
          <w:tab/>
        </w:r>
        <w:r w:rsidR="00761258">
          <w:rPr>
            <w:noProof/>
            <w:webHidden/>
          </w:rPr>
          <w:fldChar w:fldCharType="begin"/>
        </w:r>
        <w:r w:rsidR="00761258">
          <w:rPr>
            <w:noProof/>
            <w:webHidden/>
          </w:rPr>
          <w:instrText xml:space="preserve"> PAGEREF _Toc365296821 \h </w:instrText>
        </w:r>
        <w:r w:rsidR="00761258">
          <w:rPr>
            <w:noProof/>
            <w:webHidden/>
          </w:rPr>
        </w:r>
        <w:r w:rsidR="00761258">
          <w:rPr>
            <w:noProof/>
            <w:webHidden/>
          </w:rPr>
          <w:fldChar w:fldCharType="separate"/>
        </w:r>
        <w:r w:rsidR="00A3026B">
          <w:rPr>
            <w:noProof/>
            <w:webHidden/>
          </w:rPr>
          <w:t>4</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2" w:history="1">
        <w:r w:rsidR="00761258" w:rsidRPr="00066FE7">
          <w:rPr>
            <w:rStyle w:val="Hyperlink"/>
            <w:noProof/>
          </w:rPr>
          <w:t>B.</w:t>
        </w:r>
        <w:r w:rsidR="00761258">
          <w:rPr>
            <w:rFonts w:asciiTheme="minorHAnsi" w:eastAsiaTheme="minorEastAsia" w:hAnsiTheme="minorHAnsi" w:cstheme="minorBidi"/>
            <w:b w:val="0"/>
            <w:noProof/>
          </w:rPr>
          <w:tab/>
        </w:r>
        <w:r w:rsidR="00761258" w:rsidRPr="00066FE7">
          <w:rPr>
            <w:rStyle w:val="Hyperlink"/>
            <w:noProof/>
          </w:rPr>
          <w:t>Project Objectives</w:t>
        </w:r>
        <w:r w:rsidR="00761258">
          <w:rPr>
            <w:noProof/>
            <w:webHidden/>
          </w:rPr>
          <w:tab/>
        </w:r>
        <w:r w:rsidR="00761258">
          <w:rPr>
            <w:noProof/>
            <w:webHidden/>
          </w:rPr>
          <w:fldChar w:fldCharType="begin"/>
        </w:r>
        <w:r w:rsidR="00761258">
          <w:rPr>
            <w:noProof/>
            <w:webHidden/>
          </w:rPr>
          <w:instrText xml:space="preserve"> PAGEREF _Toc365296822 \h </w:instrText>
        </w:r>
        <w:r w:rsidR="00761258">
          <w:rPr>
            <w:noProof/>
            <w:webHidden/>
          </w:rPr>
        </w:r>
        <w:r w:rsidR="00761258">
          <w:rPr>
            <w:noProof/>
            <w:webHidden/>
          </w:rPr>
          <w:fldChar w:fldCharType="separate"/>
        </w:r>
        <w:r w:rsidR="00A3026B">
          <w:rPr>
            <w:noProof/>
            <w:webHidden/>
          </w:rPr>
          <w:t>5</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3" w:history="1">
        <w:r w:rsidR="00761258" w:rsidRPr="00066FE7">
          <w:rPr>
            <w:rStyle w:val="Hyperlink"/>
            <w:noProof/>
          </w:rPr>
          <w:t>C.</w:t>
        </w:r>
        <w:r w:rsidR="00761258">
          <w:rPr>
            <w:rFonts w:asciiTheme="minorHAnsi" w:eastAsiaTheme="minorEastAsia" w:hAnsiTheme="minorHAnsi" w:cstheme="minorBidi"/>
            <w:b w:val="0"/>
            <w:noProof/>
          </w:rPr>
          <w:tab/>
        </w:r>
        <w:r w:rsidR="00761258" w:rsidRPr="00066FE7">
          <w:rPr>
            <w:rStyle w:val="Hyperlink"/>
            <w:noProof/>
          </w:rPr>
          <w:t>Project Scope</w:t>
        </w:r>
        <w:r w:rsidR="00761258">
          <w:rPr>
            <w:noProof/>
            <w:webHidden/>
          </w:rPr>
          <w:tab/>
        </w:r>
        <w:r w:rsidR="00761258">
          <w:rPr>
            <w:noProof/>
            <w:webHidden/>
          </w:rPr>
          <w:fldChar w:fldCharType="begin"/>
        </w:r>
        <w:r w:rsidR="00761258">
          <w:rPr>
            <w:noProof/>
            <w:webHidden/>
          </w:rPr>
          <w:instrText xml:space="preserve"> PAGEREF _Toc365296823 \h </w:instrText>
        </w:r>
        <w:r w:rsidR="00761258">
          <w:rPr>
            <w:noProof/>
            <w:webHidden/>
          </w:rPr>
        </w:r>
        <w:r w:rsidR="00761258">
          <w:rPr>
            <w:noProof/>
            <w:webHidden/>
          </w:rPr>
          <w:fldChar w:fldCharType="separate"/>
        </w:r>
        <w:r w:rsidR="00A3026B">
          <w:rPr>
            <w:noProof/>
            <w:webHidden/>
          </w:rPr>
          <w:t>6</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4" w:history="1">
        <w:r w:rsidR="00761258" w:rsidRPr="00066FE7">
          <w:rPr>
            <w:rStyle w:val="Hyperlink"/>
            <w:noProof/>
          </w:rPr>
          <w:t>D.</w:t>
        </w:r>
        <w:r w:rsidR="00761258">
          <w:rPr>
            <w:rFonts w:asciiTheme="minorHAnsi" w:eastAsiaTheme="minorEastAsia" w:hAnsiTheme="minorHAnsi" w:cstheme="minorBidi"/>
            <w:b w:val="0"/>
            <w:noProof/>
          </w:rPr>
          <w:tab/>
        </w:r>
        <w:r w:rsidR="00761258" w:rsidRPr="00066FE7">
          <w:rPr>
            <w:rStyle w:val="Hyperlink"/>
            <w:noProof/>
          </w:rPr>
          <w:t>Project Organization Structure</w:t>
        </w:r>
        <w:r w:rsidR="00761258">
          <w:rPr>
            <w:noProof/>
            <w:webHidden/>
          </w:rPr>
          <w:tab/>
        </w:r>
        <w:r w:rsidR="00761258">
          <w:rPr>
            <w:noProof/>
            <w:webHidden/>
          </w:rPr>
          <w:fldChar w:fldCharType="begin"/>
        </w:r>
        <w:r w:rsidR="00761258">
          <w:rPr>
            <w:noProof/>
            <w:webHidden/>
          </w:rPr>
          <w:instrText xml:space="preserve"> PAGEREF _Toc365296824 \h </w:instrText>
        </w:r>
        <w:r w:rsidR="00761258">
          <w:rPr>
            <w:noProof/>
            <w:webHidden/>
          </w:rPr>
        </w:r>
        <w:r w:rsidR="00761258">
          <w:rPr>
            <w:noProof/>
            <w:webHidden/>
          </w:rPr>
          <w:fldChar w:fldCharType="separate"/>
        </w:r>
        <w:r w:rsidR="00A3026B">
          <w:rPr>
            <w:noProof/>
            <w:webHidden/>
          </w:rPr>
          <w:t>7</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5" w:history="1">
        <w:r w:rsidR="00761258" w:rsidRPr="00066FE7">
          <w:rPr>
            <w:rStyle w:val="Hyperlink"/>
            <w:noProof/>
          </w:rPr>
          <w:t>E.</w:t>
        </w:r>
        <w:r w:rsidR="00761258">
          <w:rPr>
            <w:rFonts w:asciiTheme="minorHAnsi" w:eastAsiaTheme="minorEastAsia" w:hAnsiTheme="minorHAnsi" w:cstheme="minorBidi"/>
            <w:b w:val="0"/>
            <w:noProof/>
          </w:rPr>
          <w:tab/>
        </w:r>
        <w:r w:rsidR="00761258" w:rsidRPr="00066FE7">
          <w:rPr>
            <w:rStyle w:val="Hyperlink"/>
            <w:noProof/>
          </w:rPr>
          <w:t>Resource Requirements</w:t>
        </w:r>
        <w:r w:rsidR="00761258">
          <w:rPr>
            <w:noProof/>
            <w:webHidden/>
          </w:rPr>
          <w:tab/>
        </w:r>
        <w:r w:rsidR="00761258">
          <w:rPr>
            <w:noProof/>
            <w:webHidden/>
          </w:rPr>
          <w:fldChar w:fldCharType="begin"/>
        </w:r>
        <w:r w:rsidR="00761258">
          <w:rPr>
            <w:noProof/>
            <w:webHidden/>
          </w:rPr>
          <w:instrText xml:space="preserve"> PAGEREF _Toc365296825 \h </w:instrText>
        </w:r>
        <w:r w:rsidR="00761258">
          <w:rPr>
            <w:noProof/>
            <w:webHidden/>
          </w:rPr>
        </w:r>
        <w:r w:rsidR="00761258">
          <w:rPr>
            <w:noProof/>
            <w:webHidden/>
          </w:rPr>
          <w:fldChar w:fldCharType="separate"/>
        </w:r>
        <w:r w:rsidR="00A3026B">
          <w:rPr>
            <w:noProof/>
            <w:webHidden/>
          </w:rPr>
          <w:t>10</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6" w:history="1">
        <w:r w:rsidR="00761258" w:rsidRPr="00066FE7">
          <w:rPr>
            <w:rStyle w:val="Hyperlink"/>
            <w:noProof/>
          </w:rPr>
          <w:t>F.</w:t>
        </w:r>
        <w:r w:rsidR="00761258">
          <w:rPr>
            <w:rFonts w:asciiTheme="minorHAnsi" w:eastAsiaTheme="minorEastAsia" w:hAnsiTheme="minorHAnsi" w:cstheme="minorBidi"/>
            <w:b w:val="0"/>
            <w:noProof/>
          </w:rPr>
          <w:tab/>
        </w:r>
        <w:r w:rsidR="00761258" w:rsidRPr="00066FE7">
          <w:rPr>
            <w:rStyle w:val="Hyperlink"/>
            <w:noProof/>
          </w:rPr>
          <w:t>Project Baseline</w:t>
        </w:r>
        <w:r w:rsidR="00761258">
          <w:rPr>
            <w:noProof/>
            <w:webHidden/>
          </w:rPr>
          <w:tab/>
        </w:r>
        <w:r w:rsidR="00761258">
          <w:rPr>
            <w:noProof/>
            <w:webHidden/>
          </w:rPr>
          <w:fldChar w:fldCharType="begin"/>
        </w:r>
        <w:r w:rsidR="00761258">
          <w:rPr>
            <w:noProof/>
            <w:webHidden/>
          </w:rPr>
          <w:instrText xml:space="preserve"> PAGEREF _Toc365296826 \h </w:instrText>
        </w:r>
        <w:r w:rsidR="00761258">
          <w:rPr>
            <w:noProof/>
            <w:webHidden/>
          </w:rPr>
        </w:r>
        <w:r w:rsidR="00761258">
          <w:rPr>
            <w:noProof/>
            <w:webHidden/>
          </w:rPr>
          <w:fldChar w:fldCharType="separate"/>
        </w:r>
        <w:r w:rsidR="00A3026B">
          <w:rPr>
            <w:noProof/>
            <w:webHidden/>
          </w:rPr>
          <w:t>11</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7" w:history="1">
        <w:r w:rsidR="00761258" w:rsidRPr="00066FE7">
          <w:rPr>
            <w:rStyle w:val="Hyperlink"/>
            <w:noProof/>
          </w:rPr>
          <w:t>G.</w:t>
        </w:r>
        <w:r w:rsidR="00761258">
          <w:rPr>
            <w:rFonts w:asciiTheme="minorHAnsi" w:eastAsiaTheme="minorEastAsia" w:hAnsiTheme="minorHAnsi" w:cstheme="minorBidi"/>
            <w:b w:val="0"/>
            <w:noProof/>
          </w:rPr>
          <w:tab/>
        </w:r>
        <w:r w:rsidR="00761258" w:rsidRPr="00066FE7">
          <w:rPr>
            <w:rStyle w:val="Hyperlink"/>
            <w:noProof/>
          </w:rPr>
          <w:t>Acquisition Execution Plan</w:t>
        </w:r>
        <w:r w:rsidR="00761258">
          <w:rPr>
            <w:noProof/>
            <w:webHidden/>
          </w:rPr>
          <w:tab/>
        </w:r>
        <w:r w:rsidR="00761258">
          <w:rPr>
            <w:noProof/>
            <w:webHidden/>
          </w:rPr>
          <w:fldChar w:fldCharType="begin"/>
        </w:r>
        <w:r w:rsidR="00761258">
          <w:rPr>
            <w:noProof/>
            <w:webHidden/>
          </w:rPr>
          <w:instrText xml:space="preserve"> PAGEREF _Toc365296827 \h </w:instrText>
        </w:r>
        <w:r w:rsidR="00761258">
          <w:rPr>
            <w:noProof/>
            <w:webHidden/>
          </w:rPr>
        </w:r>
        <w:r w:rsidR="00761258">
          <w:rPr>
            <w:noProof/>
            <w:webHidden/>
          </w:rPr>
          <w:fldChar w:fldCharType="separate"/>
        </w:r>
        <w:r w:rsidR="00A3026B">
          <w:rPr>
            <w:noProof/>
            <w:webHidden/>
          </w:rPr>
          <w:t>14</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8" w:history="1">
        <w:r w:rsidR="00761258" w:rsidRPr="00066FE7">
          <w:rPr>
            <w:rStyle w:val="Hyperlink"/>
            <w:noProof/>
          </w:rPr>
          <w:t>H.</w:t>
        </w:r>
        <w:r w:rsidR="00761258">
          <w:rPr>
            <w:rFonts w:asciiTheme="minorHAnsi" w:eastAsiaTheme="minorEastAsia" w:hAnsiTheme="minorHAnsi" w:cstheme="minorBidi"/>
            <w:b w:val="0"/>
            <w:noProof/>
          </w:rPr>
          <w:tab/>
        </w:r>
        <w:r w:rsidR="00761258" w:rsidRPr="00066FE7">
          <w:rPr>
            <w:rStyle w:val="Hyperlink"/>
            <w:noProof/>
          </w:rPr>
          <w:t>Project Controls</w:t>
        </w:r>
        <w:r w:rsidR="00761258">
          <w:rPr>
            <w:noProof/>
            <w:webHidden/>
          </w:rPr>
          <w:tab/>
        </w:r>
        <w:r w:rsidR="00761258">
          <w:rPr>
            <w:noProof/>
            <w:webHidden/>
          </w:rPr>
          <w:fldChar w:fldCharType="begin"/>
        </w:r>
        <w:r w:rsidR="00761258">
          <w:rPr>
            <w:noProof/>
            <w:webHidden/>
          </w:rPr>
          <w:instrText xml:space="preserve"> PAGEREF _Toc365296828 \h </w:instrText>
        </w:r>
        <w:r w:rsidR="00761258">
          <w:rPr>
            <w:noProof/>
            <w:webHidden/>
          </w:rPr>
        </w:r>
        <w:r w:rsidR="00761258">
          <w:rPr>
            <w:noProof/>
            <w:webHidden/>
          </w:rPr>
          <w:fldChar w:fldCharType="separate"/>
        </w:r>
        <w:r w:rsidR="00A3026B">
          <w:rPr>
            <w:noProof/>
            <w:webHidden/>
          </w:rPr>
          <w:t>15</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29" w:history="1">
        <w:r w:rsidR="00761258" w:rsidRPr="00066FE7">
          <w:rPr>
            <w:rStyle w:val="Hyperlink"/>
            <w:noProof/>
          </w:rPr>
          <w:t>I.</w:t>
        </w:r>
        <w:r w:rsidR="00761258">
          <w:rPr>
            <w:rFonts w:asciiTheme="minorHAnsi" w:eastAsiaTheme="minorEastAsia" w:hAnsiTheme="minorHAnsi" w:cstheme="minorBidi"/>
            <w:b w:val="0"/>
            <w:noProof/>
          </w:rPr>
          <w:tab/>
        </w:r>
        <w:r w:rsidR="00761258" w:rsidRPr="00066FE7">
          <w:rPr>
            <w:rStyle w:val="Hyperlink"/>
            <w:noProof/>
          </w:rPr>
          <w:t>Design and Construction Principles</w:t>
        </w:r>
        <w:r w:rsidR="00761258">
          <w:rPr>
            <w:noProof/>
            <w:webHidden/>
          </w:rPr>
          <w:tab/>
        </w:r>
        <w:r w:rsidR="00761258">
          <w:rPr>
            <w:noProof/>
            <w:webHidden/>
          </w:rPr>
          <w:fldChar w:fldCharType="begin"/>
        </w:r>
        <w:r w:rsidR="00761258">
          <w:rPr>
            <w:noProof/>
            <w:webHidden/>
          </w:rPr>
          <w:instrText xml:space="preserve"> PAGEREF _Toc365296829 \h </w:instrText>
        </w:r>
        <w:r w:rsidR="00761258">
          <w:rPr>
            <w:noProof/>
            <w:webHidden/>
          </w:rPr>
        </w:r>
        <w:r w:rsidR="00761258">
          <w:rPr>
            <w:noProof/>
            <w:webHidden/>
          </w:rPr>
          <w:fldChar w:fldCharType="separate"/>
        </w:r>
        <w:r w:rsidR="00A3026B">
          <w:rPr>
            <w:noProof/>
            <w:webHidden/>
          </w:rPr>
          <w:t>17</w:t>
        </w:r>
        <w:r w:rsidR="00761258">
          <w:rPr>
            <w:noProof/>
            <w:webHidden/>
          </w:rPr>
          <w:fldChar w:fldCharType="end"/>
        </w:r>
      </w:hyperlink>
    </w:p>
    <w:p w:rsidR="00761258" w:rsidRDefault="005437ED">
      <w:pPr>
        <w:pStyle w:val="TOC1"/>
        <w:tabs>
          <w:tab w:val="left" w:pos="480"/>
          <w:tab w:val="right" w:pos="9350"/>
        </w:tabs>
        <w:rPr>
          <w:rFonts w:asciiTheme="minorHAnsi" w:eastAsiaTheme="minorEastAsia" w:hAnsiTheme="minorHAnsi" w:cstheme="minorBidi"/>
          <w:b w:val="0"/>
          <w:noProof/>
        </w:rPr>
      </w:pPr>
      <w:hyperlink w:anchor="_Toc365296830" w:history="1">
        <w:r w:rsidR="00761258" w:rsidRPr="00066FE7">
          <w:rPr>
            <w:rStyle w:val="Hyperlink"/>
            <w:noProof/>
          </w:rPr>
          <w:t>J.</w:t>
        </w:r>
        <w:r w:rsidR="00761258">
          <w:rPr>
            <w:rFonts w:asciiTheme="minorHAnsi" w:eastAsiaTheme="minorEastAsia" w:hAnsiTheme="minorHAnsi" w:cstheme="minorBidi"/>
            <w:b w:val="0"/>
            <w:noProof/>
          </w:rPr>
          <w:tab/>
        </w:r>
        <w:r w:rsidR="00761258" w:rsidRPr="00066FE7">
          <w:rPr>
            <w:rStyle w:val="Hyperlink"/>
            <w:noProof/>
          </w:rPr>
          <w:t>Reporting and Review</w:t>
        </w:r>
        <w:r w:rsidR="00761258">
          <w:rPr>
            <w:noProof/>
            <w:webHidden/>
          </w:rPr>
          <w:tab/>
        </w:r>
        <w:r w:rsidR="00761258">
          <w:rPr>
            <w:noProof/>
            <w:webHidden/>
          </w:rPr>
          <w:fldChar w:fldCharType="begin"/>
        </w:r>
        <w:r w:rsidR="00761258">
          <w:rPr>
            <w:noProof/>
            <w:webHidden/>
          </w:rPr>
          <w:instrText xml:space="preserve"> PAGEREF _Toc365296830 \h </w:instrText>
        </w:r>
        <w:r w:rsidR="00761258">
          <w:rPr>
            <w:noProof/>
            <w:webHidden/>
          </w:rPr>
        </w:r>
        <w:r w:rsidR="00761258">
          <w:rPr>
            <w:noProof/>
            <w:webHidden/>
          </w:rPr>
          <w:fldChar w:fldCharType="separate"/>
        </w:r>
        <w:r w:rsidR="00A3026B">
          <w:rPr>
            <w:noProof/>
            <w:webHidden/>
          </w:rPr>
          <w:t>18</w:t>
        </w:r>
        <w:r w:rsidR="00761258">
          <w:rPr>
            <w:noProof/>
            <w:webHidden/>
          </w:rPr>
          <w:fldChar w:fldCharType="end"/>
        </w:r>
      </w:hyperlink>
    </w:p>
    <w:p w:rsidR="000F16AC" w:rsidRDefault="000F16AC">
      <w:r>
        <w:fldChar w:fldCharType="end"/>
      </w:r>
    </w:p>
    <w:p w:rsidR="000F16AC" w:rsidRDefault="000F16AC" w:rsidP="000F16AC">
      <w:pPr>
        <w:pStyle w:val="Heading1"/>
      </w:pPr>
      <w:r>
        <w:br w:type="page"/>
      </w:r>
      <w:bookmarkStart w:id="1" w:name="_Toc365296821"/>
      <w:r>
        <w:lastRenderedPageBreak/>
        <w:t>Submittal Page</w:t>
      </w:r>
      <w:bookmarkEnd w:id="1"/>
    </w:p>
    <w:p w:rsidR="000F16AC" w:rsidRDefault="000F16AC">
      <w:pPr>
        <w:pStyle w:val="AddressLine"/>
        <w:spacing w:after="240"/>
      </w:pPr>
      <w:r>
        <w:tab/>
      </w:r>
    </w:p>
    <w:p w:rsidR="000F16AC" w:rsidRDefault="000F16AC">
      <w:pPr>
        <w:pStyle w:val="Bodynoindent"/>
      </w:pPr>
      <w:r>
        <w:t>Submitted, Accepted, and Approved by:</w:t>
      </w:r>
    </w:p>
    <w:p w:rsidR="000F16AC" w:rsidRDefault="000F16AC">
      <w:pPr>
        <w:pStyle w:val="Bodynoindent"/>
      </w:pPr>
    </w:p>
    <w:p w:rsidR="000F16AC" w:rsidRDefault="000F16AC">
      <w:pPr>
        <w:pStyle w:val="Bodynoindent"/>
      </w:pPr>
    </w:p>
    <w:p w:rsidR="000F16AC" w:rsidRDefault="000F16AC" w:rsidP="000F16AC">
      <w:pPr>
        <w:pStyle w:val="Bodynoindent"/>
      </w:pPr>
    </w:p>
    <w:p w:rsidR="000F16AC" w:rsidRDefault="000F16AC" w:rsidP="000F16AC">
      <w:pPr>
        <w:pStyle w:val="Bodynoindent"/>
        <w:spacing w:after="0"/>
        <w:rPr>
          <w:u w:val="single"/>
        </w:rPr>
      </w:pPr>
      <w:r>
        <w:rPr>
          <w:u w:val="single"/>
        </w:rPr>
        <w:t>_______________________________________________</w:t>
      </w:r>
    </w:p>
    <w:p w:rsidR="000F16AC" w:rsidRDefault="000E5ED6" w:rsidP="000F16AC">
      <w:pPr>
        <w:pStyle w:val="Bodynoindent"/>
      </w:pPr>
      <w:r>
        <w:t>Stu</w:t>
      </w:r>
      <w:r w:rsidR="00444F2F">
        <w:t xml:space="preserve">art Henderson </w:t>
      </w:r>
      <w:r w:rsidR="00444F2F">
        <w:tab/>
      </w:r>
      <w:r w:rsidR="00444F2F">
        <w:tab/>
      </w:r>
      <w:r w:rsidR="000F16AC">
        <w:tab/>
      </w:r>
      <w:r w:rsidR="000F16AC">
        <w:tab/>
        <w:t>Date</w:t>
      </w:r>
    </w:p>
    <w:p w:rsidR="000F16AC" w:rsidRDefault="000F16AC" w:rsidP="000F16AC">
      <w:pPr>
        <w:pStyle w:val="Bodynoindent"/>
        <w:spacing w:after="0"/>
      </w:pPr>
      <w:r>
        <w:t>Associate Director</w:t>
      </w:r>
    </w:p>
    <w:p w:rsidR="000F16AC" w:rsidRPr="00282185" w:rsidRDefault="000F16AC" w:rsidP="000F16AC">
      <w:pPr>
        <w:pStyle w:val="Bodynoindent"/>
        <w:spacing w:after="0"/>
      </w:pPr>
      <w:r>
        <w:t>Fermilab Directorate</w:t>
      </w:r>
    </w:p>
    <w:p w:rsidR="000F16AC" w:rsidRDefault="000F16AC" w:rsidP="000F16AC">
      <w:pPr>
        <w:pStyle w:val="Bodynoindent"/>
      </w:pPr>
    </w:p>
    <w:p w:rsidR="000F16AC" w:rsidRDefault="000F16AC" w:rsidP="000F16AC">
      <w:pPr>
        <w:pStyle w:val="Bodynoindent"/>
        <w:spacing w:after="0"/>
        <w:rPr>
          <w:u w:val="single"/>
        </w:rPr>
      </w:pPr>
      <w:r>
        <w:rPr>
          <w:u w:val="single"/>
        </w:rPr>
        <w:t>_______________________________________________</w:t>
      </w:r>
    </w:p>
    <w:p w:rsidR="000F16AC" w:rsidRDefault="000F16AC" w:rsidP="000F16AC">
      <w:pPr>
        <w:pStyle w:val="Bodynoindent"/>
      </w:pPr>
      <w:r>
        <w:t xml:space="preserve">Roger Dixon </w:t>
      </w:r>
      <w:r>
        <w:tab/>
      </w:r>
      <w:r>
        <w:tab/>
      </w:r>
      <w:r>
        <w:tab/>
      </w:r>
      <w:r>
        <w:tab/>
      </w:r>
      <w:r>
        <w:tab/>
        <w:t>Date</w:t>
      </w:r>
    </w:p>
    <w:p w:rsidR="000F16AC" w:rsidRDefault="000F16AC" w:rsidP="000F16AC">
      <w:pPr>
        <w:pStyle w:val="Bodynoindent"/>
        <w:spacing w:after="0"/>
      </w:pPr>
      <w:r>
        <w:t>Accelerator Division Head</w:t>
      </w:r>
    </w:p>
    <w:p w:rsidR="000F16AC" w:rsidRDefault="000F16AC" w:rsidP="000F16AC">
      <w:pPr>
        <w:pStyle w:val="Bodynoindent"/>
        <w:spacing w:after="0"/>
      </w:pPr>
    </w:p>
    <w:p w:rsidR="000E5ED6" w:rsidRDefault="000E5ED6" w:rsidP="000F16AC">
      <w:pPr>
        <w:pStyle w:val="Bodynoindent"/>
        <w:spacing w:after="0"/>
        <w:rPr>
          <w:u w:val="single"/>
        </w:rPr>
      </w:pPr>
    </w:p>
    <w:p w:rsidR="000F16AC" w:rsidRDefault="000F16AC" w:rsidP="000F16AC">
      <w:pPr>
        <w:pStyle w:val="Bodynoindent"/>
        <w:spacing w:after="0"/>
        <w:rPr>
          <w:u w:val="single"/>
        </w:rPr>
      </w:pPr>
      <w:r>
        <w:rPr>
          <w:u w:val="single"/>
        </w:rPr>
        <w:t>_______________________________________________</w:t>
      </w:r>
    </w:p>
    <w:p w:rsidR="000F16AC" w:rsidRDefault="000E5ED6" w:rsidP="000F16AC">
      <w:pPr>
        <w:pStyle w:val="Bodynoindent"/>
      </w:pPr>
      <w:r>
        <w:t>Mary Convery</w:t>
      </w:r>
      <w:r w:rsidR="000F16AC">
        <w:tab/>
      </w:r>
      <w:r w:rsidR="000F16AC">
        <w:tab/>
      </w:r>
      <w:r w:rsidR="000F16AC">
        <w:tab/>
      </w:r>
      <w:r w:rsidR="000F16AC">
        <w:tab/>
        <w:t>Date</w:t>
      </w:r>
    </w:p>
    <w:p w:rsidR="000F16AC" w:rsidRPr="00282185" w:rsidRDefault="000E5ED6" w:rsidP="000F16AC">
      <w:pPr>
        <w:pStyle w:val="Bodynoindent"/>
        <w:spacing w:after="0"/>
      </w:pPr>
      <w:r>
        <w:t>Muon Campus Program Coordinator</w:t>
      </w:r>
    </w:p>
    <w:p w:rsidR="000E5ED6" w:rsidRDefault="000E5ED6" w:rsidP="000E5ED6">
      <w:pPr>
        <w:pStyle w:val="Bodynoindent"/>
        <w:spacing w:after="0"/>
        <w:rPr>
          <w:u w:val="single"/>
        </w:rPr>
      </w:pPr>
    </w:p>
    <w:p w:rsidR="000E5ED6" w:rsidRDefault="000E5ED6" w:rsidP="000E5ED6">
      <w:pPr>
        <w:pStyle w:val="Bodynoindent"/>
        <w:spacing w:after="0"/>
        <w:rPr>
          <w:u w:val="single"/>
        </w:rPr>
      </w:pPr>
    </w:p>
    <w:p w:rsidR="000E5ED6" w:rsidRDefault="000E5ED6" w:rsidP="000E5ED6">
      <w:pPr>
        <w:pStyle w:val="Bodynoindent"/>
        <w:spacing w:after="0"/>
        <w:rPr>
          <w:u w:val="single"/>
        </w:rPr>
      </w:pPr>
      <w:r>
        <w:rPr>
          <w:u w:val="single"/>
        </w:rPr>
        <w:t>_______________________________________________</w:t>
      </w:r>
    </w:p>
    <w:p w:rsidR="000E5ED6" w:rsidRDefault="00320C85" w:rsidP="000E5ED6">
      <w:pPr>
        <w:pStyle w:val="Bodynoindent"/>
      </w:pPr>
      <w:r>
        <w:t>Gerald</w:t>
      </w:r>
      <w:r w:rsidR="000E5ED6">
        <w:t xml:space="preserve"> Annala</w:t>
      </w:r>
      <w:r w:rsidR="000E5ED6">
        <w:tab/>
      </w:r>
      <w:r w:rsidR="000E5ED6">
        <w:tab/>
      </w:r>
      <w:r w:rsidR="000E5ED6">
        <w:tab/>
      </w:r>
      <w:r w:rsidR="000E5ED6">
        <w:tab/>
        <w:t>Date</w:t>
      </w:r>
    </w:p>
    <w:p w:rsidR="000E5ED6" w:rsidRPr="00282185" w:rsidRDefault="000E5ED6" w:rsidP="000E5ED6">
      <w:pPr>
        <w:pStyle w:val="Bodynoindent"/>
        <w:spacing w:after="0"/>
      </w:pPr>
      <w:r>
        <w:t>Project Director</w:t>
      </w:r>
    </w:p>
    <w:p w:rsidR="000F16AC" w:rsidRDefault="000F16AC" w:rsidP="000F16AC">
      <w:pPr>
        <w:pStyle w:val="Bodynoindent"/>
      </w:pPr>
    </w:p>
    <w:p w:rsidR="000F16AC" w:rsidRPr="00282185" w:rsidRDefault="000F16AC" w:rsidP="000F16AC">
      <w:pPr>
        <w:pStyle w:val="Bodynoindent"/>
        <w:spacing w:after="0"/>
      </w:pPr>
    </w:p>
    <w:p w:rsidR="000E5ED6" w:rsidRDefault="000E5ED6" w:rsidP="000E5ED6">
      <w:pPr>
        <w:pStyle w:val="Bodynoindent"/>
        <w:spacing w:after="0"/>
        <w:rPr>
          <w:u w:val="single"/>
        </w:rPr>
      </w:pPr>
      <w:r>
        <w:rPr>
          <w:u w:val="single"/>
        </w:rPr>
        <w:t>_______________________________________________</w:t>
      </w:r>
    </w:p>
    <w:p w:rsidR="000E5ED6" w:rsidRDefault="00320C85" w:rsidP="000E5ED6">
      <w:pPr>
        <w:pStyle w:val="Bodynoindent"/>
      </w:pPr>
      <w:r>
        <w:t>Gerald</w:t>
      </w:r>
      <w:r w:rsidR="000E5ED6">
        <w:t xml:space="preserve"> Annala</w:t>
      </w:r>
      <w:r w:rsidR="000E5ED6">
        <w:tab/>
      </w:r>
      <w:r w:rsidR="000E5ED6">
        <w:tab/>
      </w:r>
      <w:r w:rsidR="000E5ED6">
        <w:tab/>
      </w:r>
      <w:r w:rsidR="000E5ED6">
        <w:tab/>
        <w:t>Date</w:t>
      </w:r>
    </w:p>
    <w:p w:rsidR="000E5ED6" w:rsidRPr="00282185" w:rsidRDefault="000E5ED6" w:rsidP="000E5ED6">
      <w:pPr>
        <w:pStyle w:val="Bodynoindent"/>
        <w:spacing w:after="0"/>
      </w:pPr>
      <w:r>
        <w:t>Project Manager</w:t>
      </w:r>
    </w:p>
    <w:p w:rsidR="000F16AC" w:rsidRDefault="000F16AC" w:rsidP="000F16AC">
      <w:pPr>
        <w:pStyle w:val="Bodynoindent"/>
      </w:pPr>
    </w:p>
    <w:p w:rsidR="000F16AC" w:rsidRDefault="000F16AC" w:rsidP="000F16AC">
      <w:pPr>
        <w:pStyle w:val="Heading1"/>
      </w:pPr>
      <w:r>
        <w:br w:type="page"/>
      </w:r>
      <w:bookmarkStart w:id="2" w:name="_Toc365296822"/>
      <w:r>
        <w:lastRenderedPageBreak/>
        <w:t>Project Objectives</w:t>
      </w:r>
      <w:bookmarkEnd w:id="2"/>
    </w:p>
    <w:p w:rsidR="000F16AC" w:rsidRDefault="000F16AC" w:rsidP="000F16AC">
      <w:pPr>
        <w:pStyle w:val="FaxTitle"/>
      </w:pPr>
    </w:p>
    <w:p w:rsidR="000F16AC" w:rsidRDefault="000F16AC" w:rsidP="000F16AC">
      <w:r>
        <w:t xml:space="preserve">The Fermilab </w:t>
      </w:r>
      <w:r w:rsidR="003A4EDE">
        <w:t>Antiproton Source was used for the production and accumulation of antiprotons required for the Tevatron Collider Program</w:t>
      </w:r>
      <w:r>
        <w:t>.</w:t>
      </w:r>
      <w:r w:rsidR="003A4EDE">
        <w:t xml:space="preserve">  </w:t>
      </w:r>
      <w:r w:rsidR="00FC0E4B">
        <w:t>With the end of that program, the Antiproton Source has become available to be used to support future muon experiments.  Two experiments are already being planned with the possibility of more proposals at a later time.  Modifications to the present Antiproton Source are required to convert the facility to support these muon experiments.  The Muon Delivery Ring upgrade project is a $</w:t>
      </w:r>
      <w:r w:rsidR="00112102">
        <w:t>9.5</w:t>
      </w:r>
      <w:r w:rsidR="00FC0E4B" w:rsidRPr="00B2740A">
        <w:t xml:space="preserve">M effort </w:t>
      </w:r>
      <w:r w:rsidR="00FC0E4B">
        <w:t xml:space="preserve">designed to provide both 8.9 GeV/c protons and lower energy muons with the time structure required for the proposed muon experiments. </w:t>
      </w:r>
    </w:p>
    <w:p w:rsidR="000F16AC" w:rsidRDefault="000F16AC" w:rsidP="000F16AC"/>
    <w:p w:rsidR="000F16AC" w:rsidRDefault="000F16AC" w:rsidP="000F16AC">
      <w:pPr>
        <w:pStyle w:val="Heading1"/>
      </w:pPr>
      <w:r>
        <w:br w:type="page"/>
      </w:r>
      <w:bookmarkStart w:id="3" w:name="_Toc365296823"/>
      <w:r>
        <w:lastRenderedPageBreak/>
        <w:t xml:space="preserve">Project </w:t>
      </w:r>
      <w:r w:rsidRPr="00FA0A32">
        <w:t>Scop</w:t>
      </w:r>
      <w:r>
        <w:t>e</w:t>
      </w:r>
      <w:bookmarkEnd w:id="3"/>
    </w:p>
    <w:p w:rsidR="000F16AC" w:rsidRDefault="000F16AC" w:rsidP="000F16AC">
      <w:pPr>
        <w:pStyle w:val="FaxTitle"/>
      </w:pPr>
    </w:p>
    <w:p w:rsidR="00682659" w:rsidRDefault="000E5ED6" w:rsidP="000F16AC">
      <w:r>
        <w:t>Imp</w:t>
      </w:r>
      <w:r w:rsidR="009A7BA2">
        <w:t>r</w:t>
      </w:r>
      <w:r>
        <w:t xml:space="preserve">ovements will be made to the </w:t>
      </w:r>
      <w:r w:rsidR="00422A27">
        <w:t>Delivery Ring</w:t>
      </w:r>
      <w:r>
        <w:t xml:space="preserve"> to allow an improved throughput of protons or muons for the future experiments.   I</w:t>
      </w:r>
      <w:r w:rsidR="00422A27">
        <w:t>njection devices and their power suppl</w:t>
      </w:r>
      <w:r>
        <w:t xml:space="preserve">ies will be built and installed that allow for the increased pulse rate. </w:t>
      </w:r>
      <w:r w:rsidR="00422A27">
        <w:t xml:space="preserve">  A required abort system including a kicker, septum, dump and beam line modifications will be included.  Collider equipment that is no longer used will be removed to increase the aperture and make room for equipment required for the m</w:t>
      </w:r>
      <w:r>
        <w:t>uon program.  There will be</w:t>
      </w:r>
      <w:r w:rsidR="00422A27">
        <w:t xml:space="preserve"> infrastr</w:t>
      </w:r>
      <w:r w:rsidR="002F1947">
        <w:t>ucture modifications required for</w:t>
      </w:r>
      <w:r w:rsidR="00422A27">
        <w:t xml:space="preserve"> the AC power distribution to the </w:t>
      </w:r>
      <w:r w:rsidR="002F1947">
        <w:t>new circuits, as we</w:t>
      </w:r>
      <w:r w:rsidR="00A14473">
        <w:t>ll a cooling to the new magnets.  The AP30 refrigerator room will also be emptied and have its interior walls removed to make space for new equipment.</w:t>
      </w:r>
      <w:r w:rsidR="00481F25">
        <w:t xml:space="preserve">  </w:t>
      </w:r>
      <w:r w:rsidR="0083268E">
        <w:t>Instrumentation will be improved to be compatible with the bunch structure, repetition rate, and intensities required by the future muon program.</w:t>
      </w:r>
    </w:p>
    <w:p w:rsidR="00682659" w:rsidRDefault="00682659" w:rsidP="000F16AC"/>
    <w:p w:rsidR="00682659" w:rsidRDefault="00682659" w:rsidP="000F16AC"/>
    <w:p w:rsidR="000F16AC" w:rsidRDefault="000F16AC" w:rsidP="000F16AC"/>
    <w:p w:rsidR="000F16AC" w:rsidRDefault="000F16AC" w:rsidP="000F16AC">
      <w:pPr>
        <w:pStyle w:val="Heading1"/>
      </w:pPr>
      <w:r>
        <w:br w:type="page"/>
      </w:r>
      <w:bookmarkStart w:id="4" w:name="_Toc365296824"/>
      <w:r>
        <w:lastRenderedPageBreak/>
        <w:t>Project Organization Structure</w:t>
      </w:r>
      <w:bookmarkEnd w:id="4"/>
    </w:p>
    <w:p w:rsidR="000F16AC" w:rsidRDefault="000F16AC" w:rsidP="000F16AC">
      <w:r>
        <w:rPr>
          <w:b/>
          <w:u w:val="single"/>
        </w:rPr>
        <w:t>DOE Management</w:t>
      </w:r>
    </w:p>
    <w:p w:rsidR="000F16AC" w:rsidRDefault="000F16AC" w:rsidP="000F16AC">
      <w:r w:rsidRPr="00777024">
        <w:t xml:space="preserve">The Fermi Site Office administers the M&amp;O contract with </w:t>
      </w:r>
      <w:r>
        <w:t>FRA</w:t>
      </w:r>
      <w:r w:rsidRPr="00777024">
        <w:t xml:space="preserve"> for operations of Fermilab and exercises oversight of Fermilab.  The Fermi Site Office</w:t>
      </w:r>
      <w:r>
        <w:t xml:space="preserve"> </w:t>
      </w:r>
      <w:r w:rsidRPr="00777024">
        <w:t xml:space="preserve">Manager, </w:t>
      </w:r>
      <w:r w:rsidR="00481F25" w:rsidRPr="00320C85">
        <w:t>Michael J. Weis</w:t>
      </w:r>
      <w:r w:rsidRPr="00777024">
        <w:t xml:space="preserve">, has been delegated responsibility and authority for execution of the project.  The specific responsibilities of the Fermi Site Office manager are: </w:t>
      </w:r>
    </w:p>
    <w:p w:rsidR="002E0415" w:rsidRPr="00777024" w:rsidRDefault="002E0415" w:rsidP="000F16AC"/>
    <w:p w:rsidR="000F16AC" w:rsidRPr="00777024" w:rsidRDefault="000F16AC" w:rsidP="002E0415">
      <w:pPr>
        <w:ind w:left="720"/>
      </w:pPr>
      <w:r w:rsidRPr="00777024">
        <w:t xml:space="preserve">• Supervision of </w:t>
      </w:r>
      <w:r>
        <w:t>DOE</w:t>
      </w:r>
      <w:r w:rsidRPr="00777024">
        <w:t xml:space="preserve"> Project Director and Fermi Site Office staff; </w:t>
      </w:r>
    </w:p>
    <w:p w:rsidR="000F16AC" w:rsidRPr="00777024" w:rsidRDefault="000F16AC" w:rsidP="002E0415">
      <w:pPr>
        <w:ind w:left="720"/>
      </w:pPr>
      <w:r w:rsidRPr="00777024">
        <w:t xml:space="preserve">• Review and approval of documents as required by federal regulations or departmental orders or notices; </w:t>
      </w:r>
    </w:p>
    <w:p w:rsidR="000F16AC" w:rsidRPr="00777024" w:rsidRDefault="000F16AC" w:rsidP="002E0415">
      <w:pPr>
        <w:ind w:left="720"/>
      </w:pPr>
      <w:r w:rsidRPr="00777024">
        <w:t>• Approval of Fermilab subcontract actions, within the authority delegated</w:t>
      </w:r>
      <w:r>
        <w:t xml:space="preserve"> </w:t>
      </w:r>
      <w:r w:rsidRPr="00777024">
        <w:t xml:space="preserve">to Fermi Site Office; </w:t>
      </w:r>
    </w:p>
    <w:p w:rsidR="000F16AC" w:rsidRPr="00777024" w:rsidRDefault="000F16AC" w:rsidP="000F16AC">
      <w:r w:rsidRPr="00777024">
        <w:t xml:space="preserve"> </w:t>
      </w:r>
    </w:p>
    <w:p w:rsidR="000F16AC" w:rsidRPr="00777024" w:rsidRDefault="000F16AC" w:rsidP="000F16AC">
      <w:r w:rsidRPr="00777024">
        <w:t xml:space="preserve">Funds will be made available to </w:t>
      </w:r>
      <w:r>
        <w:t>DOE</w:t>
      </w:r>
      <w:r w:rsidRPr="00777024">
        <w:t xml:space="preserve"> for the project on an annual basis following passage of legislation in the U.S. Congress</w:t>
      </w:r>
      <w:r w:rsidR="00B2740A">
        <w:t>.</w:t>
      </w:r>
      <w:r w:rsidRPr="00777024">
        <w:t xml:space="preserve"> </w:t>
      </w:r>
    </w:p>
    <w:p w:rsidR="000F16AC" w:rsidRPr="00777024" w:rsidRDefault="000F16AC" w:rsidP="000F16AC">
      <w:r w:rsidRPr="00777024">
        <w:t xml:space="preserve"> </w:t>
      </w:r>
    </w:p>
    <w:p w:rsidR="002E0415" w:rsidRDefault="000F16AC" w:rsidP="000F16AC">
      <w:r w:rsidRPr="00777024">
        <w:t xml:space="preserve">The Fermi Site Office Manager has delegated authority and responsibility for management and direction of the project to the </w:t>
      </w:r>
      <w:r>
        <w:t>DOE</w:t>
      </w:r>
      <w:r w:rsidRPr="00777024">
        <w:t xml:space="preserve"> Project </w:t>
      </w:r>
      <w:r w:rsidRPr="00B2740A">
        <w:t xml:space="preserve">Director, Paul </w:t>
      </w:r>
      <w:proofErr w:type="spellStart"/>
      <w:r w:rsidRPr="00B2740A">
        <w:t>Philp</w:t>
      </w:r>
      <w:proofErr w:type="spellEnd"/>
      <w:r w:rsidRPr="00B2740A">
        <w:t>.  Th</w:t>
      </w:r>
      <w:r w:rsidRPr="00777024">
        <w:t xml:space="preserve">e specific responsibilities of the </w:t>
      </w:r>
      <w:r>
        <w:t>DOE</w:t>
      </w:r>
      <w:r w:rsidRPr="00777024">
        <w:t xml:space="preserve"> Project Director include:</w:t>
      </w:r>
    </w:p>
    <w:p w:rsidR="000F16AC" w:rsidRPr="00777024" w:rsidRDefault="000F16AC" w:rsidP="000F16AC">
      <w:r w:rsidRPr="00777024">
        <w:t xml:space="preserve"> </w:t>
      </w:r>
    </w:p>
    <w:p w:rsidR="000F16AC" w:rsidRPr="00777024" w:rsidRDefault="005437ED" w:rsidP="000F16AC">
      <w:r>
        <w:t>• Review of this P</w:t>
      </w:r>
      <w:r w:rsidR="000F16AC" w:rsidRPr="00777024">
        <w:t xml:space="preserve">P and changes thereto </w:t>
      </w:r>
    </w:p>
    <w:p w:rsidR="000F16AC" w:rsidRPr="00777024" w:rsidRDefault="000F16AC" w:rsidP="000F16AC">
      <w:r w:rsidRPr="00777024">
        <w:t xml:space="preserve">• Measurement of performance against established goals including technical performance, cost levels, and schedule milestones </w:t>
      </w:r>
    </w:p>
    <w:p w:rsidR="000F16AC" w:rsidRPr="00777024" w:rsidRDefault="000F16AC" w:rsidP="000F16AC">
      <w:r w:rsidRPr="00777024">
        <w:t>• Making any necessary changes or as it pertains to taking corrective actions within the appropriate t</w:t>
      </w:r>
      <w:r w:rsidR="005437ED">
        <w:t>hresholds established in this P</w:t>
      </w:r>
      <w:r w:rsidRPr="00777024">
        <w:t xml:space="preserve">P </w:t>
      </w:r>
    </w:p>
    <w:p w:rsidR="000F16AC" w:rsidRPr="00777024" w:rsidRDefault="000F16AC" w:rsidP="000F16AC">
      <w:r w:rsidRPr="00777024">
        <w:t xml:space="preserve">• Overseeing </w:t>
      </w:r>
      <w:proofErr w:type="spellStart"/>
      <w:r w:rsidRPr="00777024">
        <w:t>Fermilab’s</w:t>
      </w:r>
      <w:proofErr w:type="spellEnd"/>
      <w:r w:rsidRPr="00777024">
        <w:t xml:space="preserve"> management of installation activities </w:t>
      </w:r>
    </w:p>
    <w:p w:rsidR="000F16AC" w:rsidRPr="00777024" w:rsidRDefault="000F16AC" w:rsidP="000F16AC">
      <w:r w:rsidRPr="00777024">
        <w:t xml:space="preserve">• Monitoring project progress via reports prepared by the Project Manager. </w:t>
      </w:r>
    </w:p>
    <w:p w:rsidR="000F16AC" w:rsidRPr="00777024" w:rsidRDefault="000F16AC" w:rsidP="000F16AC"/>
    <w:p w:rsidR="000F16AC" w:rsidRPr="00777024" w:rsidRDefault="000F16AC" w:rsidP="000F16AC">
      <w:r w:rsidRPr="00777024">
        <w:t xml:space="preserve"> </w:t>
      </w:r>
    </w:p>
    <w:p w:rsidR="000F16AC" w:rsidRPr="00777024" w:rsidRDefault="000F16AC" w:rsidP="000F16AC">
      <w:r w:rsidRPr="00777024">
        <w:t xml:space="preserve">The </w:t>
      </w:r>
      <w:r>
        <w:t>DOE</w:t>
      </w:r>
      <w:r w:rsidRPr="00777024">
        <w:t xml:space="preserve"> has delegated the responsibility for this project to Fermilab. </w:t>
      </w:r>
    </w:p>
    <w:p w:rsidR="000F16AC" w:rsidRPr="00777024" w:rsidRDefault="000F16AC" w:rsidP="000F16AC">
      <w:r w:rsidRPr="00777024">
        <w:t xml:space="preserve"> </w:t>
      </w:r>
    </w:p>
    <w:p w:rsidR="000F16AC" w:rsidRPr="00481F25" w:rsidRDefault="00481F25" w:rsidP="000F16AC">
      <w:pPr>
        <w:rPr>
          <w:b/>
          <w:color w:val="00B050"/>
        </w:rPr>
      </w:pPr>
      <w:r>
        <w:rPr>
          <w:b/>
          <w:u w:val="single"/>
        </w:rPr>
        <w:t>Fermilab Management</w:t>
      </w:r>
    </w:p>
    <w:p w:rsidR="00320C85" w:rsidRDefault="00320C85" w:rsidP="00320C85">
      <w:r>
        <w:t>This project will be managed based on the guidance provided in DOE Manual 413.3-1. Other DOE Orders and Manuals, especially regarding design, engineering, contingency and indirect costs have been used to determine the basis for estimating costs and establishing baselines. This identification, implementation and compliance with other relevant Orders, Manuals and requirements are the responsibility of the Integrated Project Team (IPT).</w:t>
      </w:r>
    </w:p>
    <w:p w:rsidR="00320C85" w:rsidRDefault="00320C85" w:rsidP="00320C85"/>
    <w:p w:rsidR="00320C85" w:rsidRDefault="00320C85" w:rsidP="00320C85">
      <w:r>
        <w:t>The IPT structure shown in Figure 1 identifies the organizational structure that will be responsible for procurement and installation of this Project.</w:t>
      </w:r>
    </w:p>
    <w:p w:rsidR="00320C85" w:rsidRDefault="00320C85" w:rsidP="00320C85"/>
    <w:p w:rsidR="00320C85" w:rsidRDefault="00320C85" w:rsidP="00320C85">
      <w:r>
        <w:t xml:space="preserve">As with all activities at Fermilab, the Directorate is at the highest level of responsibility.  </w:t>
      </w:r>
      <w:proofErr w:type="spellStart"/>
      <w:r>
        <w:t>Fermilab’s</w:t>
      </w:r>
      <w:proofErr w:type="spellEnd"/>
      <w:r>
        <w:t xml:space="preserve"> Associate Director, Stuart Henderson, and the Fermilab Accelerator Division Head, </w:t>
      </w:r>
      <w:r>
        <w:lastRenderedPageBreak/>
        <w:t>Roger Dixon, are the Project Sponsors championing the project. The Project Sponsors establish and approve the mission need and allocate the funds from the Fermilab budget.</w:t>
      </w:r>
    </w:p>
    <w:p w:rsidR="00320C85" w:rsidRDefault="00320C85" w:rsidP="00320C85"/>
    <w:p w:rsidR="00320C85" w:rsidRDefault="00320C85" w:rsidP="00320C85">
      <w:r>
        <w:t>Procurement, installation, cost and schedule for this project are the responsibility of the Accelerator Division (AD) which will manage the work associated with this project, as well as accept line management responsibility for safety.</w:t>
      </w:r>
    </w:p>
    <w:p w:rsidR="00320C85" w:rsidRDefault="00320C85" w:rsidP="00320C85"/>
    <w:p w:rsidR="00320C85" w:rsidRDefault="00320C85" w:rsidP="00320C85">
      <w:r>
        <w:t>The Project Sponsors have designated Mary Convery of the Accelerator Division as the Muon Campus Program Coordinator (Program Coordinator) and Gerald Annala of the Accelerator Division as the Fermilab AIP Director (Project Director). The Program Coordinator and the Project Director are key stakeholders that have accepted the scope of work as described within this project’s Project Plan. The Program Coordinator will initiate all scope changes and shall secure any additional funding authority as defined by the Fermilab Project Manager and coordinate interaction with other Muon Campus projects.</w:t>
      </w:r>
    </w:p>
    <w:p w:rsidR="0055693D" w:rsidRDefault="0055693D" w:rsidP="00320C85"/>
    <w:p w:rsidR="00320C85" w:rsidRDefault="00320C85" w:rsidP="00320C85">
      <w:r>
        <w:t xml:space="preserve">Fermilab has designated </w:t>
      </w:r>
      <w:r w:rsidR="0055693D">
        <w:t>Gerald Annala</w:t>
      </w:r>
      <w:r>
        <w:t xml:space="preserve"> of the Accelerator Division’s </w:t>
      </w:r>
      <w:r w:rsidR="0055693D">
        <w:t>Muon</w:t>
      </w:r>
      <w:r>
        <w:t xml:space="preserve"> Department as Project Manager.  The Fermilab Project Manager will utilize the resources of the Accelerator Division as appropriate for design, construction, installation, and testing coordination. </w:t>
      </w:r>
    </w:p>
    <w:p w:rsidR="0055693D" w:rsidRDefault="0055693D" w:rsidP="00320C85"/>
    <w:p w:rsidR="00320C85" w:rsidRDefault="00320C85" w:rsidP="00320C85">
      <w:r>
        <w:t xml:space="preserve">All project stakeholders are considered to be organizational project assets and are considered invaluable during the planning and execution of the project. The Program Coordinator and Project Manager will identify those key stakeholders and obtain the relative inputs critical to the project’s success. </w:t>
      </w:r>
    </w:p>
    <w:p w:rsidR="0055693D" w:rsidRDefault="0055693D" w:rsidP="00320C85"/>
    <w:p w:rsidR="000F16AC" w:rsidRPr="00777024" w:rsidRDefault="00320C85" w:rsidP="00320C85">
      <w:r>
        <w:t>Prospective users, landlord ES&amp;H personnel and building managers are always key stakeholders that are included in the process.</w:t>
      </w:r>
      <w:r w:rsidR="000F16AC" w:rsidRPr="00777024">
        <w:t xml:space="preserve">  </w:t>
      </w:r>
    </w:p>
    <w:p w:rsidR="000F16AC" w:rsidRPr="00777024" w:rsidRDefault="000F16AC" w:rsidP="000F16AC">
      <w:r w:rsidRPr="00777024">
        <w:t xml:space="preserve"> </w:t>
      </w:r>
    </w:p>
    <w:p w:rsidR="000F16AC" w:rsidRPr="00777024" w:rsidRDefault="000F16AC" w:rsidP="000F16AC">
      <w:pPr>
        <w:rPr>
          <w:b/>
          <w:u w:val="single"/>
        </w:rPr>
      </w:pPr>
      <w:r w:rsidRPr="00777024">
        <w:rPr>
          <w:b/>
          <w:u w:val="single"/>
        </w:rPr>
        <w:t xml:space="preserve">ES&amp;H Management </w:t>
      </w:r>
    </w:p>
    <w:p w:rsidR="000F16AC" w:rsidRPr="00777024" w:rsidRDefault="000F16AC" w:rsidP="000F16AC">
      <w:r w:rsidRPr="00777024">
        <w:t>The AD ES</w:t>
      </w:r>
      <w:r>
        <w:t>&amp;</w:t>
      </w:r>
      <w:r w:rsidRPr="00777024">
        <w:t>H Department, headed by John Anderson, has the responsibility for providing Environmental, Safety, and Health coordination and oversight of ES&amp;H throughout the project. As with all Fermilab projects, attention to ES&amp;H concerns will be part of the project management and Integrated Safety Management (ISM) will be incorporated into</w:t>
      </w:r>
      <w:r>
        <w:t xml:space="preserve"> all processes. Line management </w:t>
      </w:r>
      <w:r w:rsidRPr="00777024">
        <w:t>responsibility for ES&amp;H will be maintained on this project.   Safe coordination of installation activities will be accomplished through the Project Manager, Project ES</w:t>
      </w:r>
      <w:r>
        <w:t>&amp;</w:t>
      </w:r>
      <w:r w:rsidRPr="00777024">
        <w:t>H Coordinator, Project Engineer, and Task Manager. During installation the Subcontractors, T&amp;M Crafts, and all Fermilab personnel will utilize Project Hazard Analyzes (PHA) to plan all work and mitigate hazards. The Project Manager and Project ES</w:t>
      </w:r>
      <w:r>
        <w:t>&amp;</w:t>
      </w:r>
      <w:r w:rsidRPr="00777024">
        <w:t>H Coordinator will audit compliance with all applicable ES</w:t>
      </w:r>
      <w:r>
        <w:t>&amp;</w:t>
      </w:r>
      <w:r w:rsidRPr="00777024">
        <w:t xml:space="preserve">H requirements.  </w:t>
      </w:r>
    </w:p>
    <w:p w:rsidR="000F16AC" w:rsidRPr="00777024" w:rsidRDefault="000F16AC" w:rsidP="000F16AC">
      <w:r w:rsidRPr="00777024">
        <w:t xml:space="preserve"> </w:t>
      </w:r>
    </w:p>
    <w:p w:rsidR="000F16AC" w:rsidRDefault="008922DF" w:rsidP="000F16AC">
      <w:r>
        <w:t>The Muon Campus project has been found to</w:t>
      </w:r>
      <w:r w:rsidR="000F16AC" w:rsidRPr="00777024">
        <w:t xml:space="preserve"> comply within the Fermilab generic Categorical Exclusion (CX) approved by </w:t>
      </w:r>
      <w:r w:rsidR="000F16AC">
        <w:t>DOE</w:t>
      </w:r>
      <w:r w:rsidR="005B2C5A">
        <w:t xml:space="preserve"> on June </w:t>
      </w:r>
      <w:r w:rsidR="00D75778">
        <w:t>8</w:t>
      </w:r>
      <w:r w:rsidR="005B2C5A">
        <w:t>, 201</w:t>
      </w:r>
      <w:r w:rsidR="000F16AC" w:rsidRPr="00777024">
        <w:t>2.</w:t>
      </w:r>
    </w:p>
    <w:p w:rsidR="0055693D" w:rsidRDefault="0055693D" w:rsidP="000F16AC"/>
    <w:p w:rsidR="0055693D" w:rsidRDefault="0055693D" w:rsidP="000F16AC"/>
    <w:p w:rsidR="00141E88" w:rsidRDefault="00141E88" w:rsidP="000F16AC"/>
    <w:p w:rsidR="00141E88" w:rsidRPr="0055693D" w:rsidRDefault="00141E88" w:rsidP="00141E88">
      <w:pPr>
        <w:jc w:val="center"/>
        <w:rPr>
          <w:rFonts w:ascii="Calibri" w:hAnsi="Calibri"/>
          <w:sz w:val="32"/>
          <w:szCs w:val="32"/>
        </w:rPr>
      </w:pPr>
      <w:r w:rsidRPr="0055693D">
        <w:rPr>
          <w:rFonts w:ascii="Calibri" w:hAnsi="Calibri"/>
          <w:sz w:val="32"/>
          <w:szCs w:val="32"/>
        </w:rPr>
        <w:lastRenderedPageBreak/>
        <w:t>Organizational Chart</w:t>
      </w:r>
    </w:p>
    <w:p w:rsidR="000F16AC" w:rsidRDefault="000F16AC" w:rsidP="000F16AC"/>
    <w:p w:rsidR="000F16AC" w:rsidRDefault="00E6452E" w:rsidP="000F16AC">
      <w:pPr>
        <w:pStyle w:val="FaxTitle"/>
        <w:jc w:val="center"/>
      </w:pPr>
      <w:r>
        <w:rPr>
          <w:noProof/>
        </w:rPr>
        <w:drawing>
          <wp:inline distT="0" distB="0" distL="0" distR="0">
            <wp:extent cx="4579620" cy="3718560"/>
            <wp:effectExtent l="0" t="0" r="0" b="15240"/>
            <wp:docPr id="19" name="Organization Chart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F16AC" w:rsidRDefault="000F16AC" w:rsidP="000F16AC">
      <w:pPr>
        <w:pStyle w:val="Heading1"/>
      </w:pPr>
      <w:r>
        <w:br w:type="page"/>
      </w:r>
      <w:bookmarkStart w:id="5" w:name="_Toc365296825"/>
      <w:r>
        <w:lastRenderedPageBreak/>
        <w:t>Resource Requirements</w:t>
      </w:r>
      <w:bookmarkEnd w:id="5"/>
    </w:p>
    <w:p w:rsidR="000F16AC" w:rsidRPr="001B364D" w:rsidRDefault="000F16AC" w:rsidP="000F16AC">
      <w:pPr>
        <w:rPr>
          <w:b/>
          <w:u w:val="single"/>
        </w:rPr>
      </w:pPr>
      <w:r w:rsidRPr="001B364D">
        <w:rPr>
          <w:b/>
          <w:u w:val="single"/>
        </w:rPr>
        <w:t xml:space="preserve">Funding </w:t>
      </w:r>
    </w:p>
    <w:p w:rsidR="000F16AC" w:rsidRPr="001B364D" w:rsidRDefault="000F16AC" w:rsidP="000F16AC">
      <w:r w:rsidRPr="001B364D">
        <w:t>This project is an Accelerator Improvement Project (AIP) with a Total Estimated Cost (TEC) of $</w:t>
      </w:r>
      <w:r w:rsidR="0083268E" w:rsidRPr="00B2740A">
        <w:t>9,</w:t>
      </w:r>
      <w:r w:rsidR="00112102">
        <w:t>511,431</w:t>
      </w:r>
      <w:r w:rsidRPr="001B364D">
        <w:t xml:space="preserve">. </w:t>
      </w:r>
    </w:p>
    <w:p w:rsidR="000F16AC" w:rsidRPr="001B364D" w:rsidRDefault="000F16AC" w:rsidP="000F16AC">
      <w:r w:rsidRPr="001B364D">
        <w:t xml:space="preserve"> </w:t>
      </w:r>
    </w:p>
    <w:p w:rsidR="000F16AC" w:rsidRPr="001B364D" w:rsidRDefault="000F16AC" w:rsidP="000F16AC">
      <w:pPr>
        <w:rPr>
          <w:b/>
          <w:u w:val="single"/>
        </w:rPr>
      </w:pPr>
      <w:r w:rsidRPr="001B364D">
        <w:rPr>
          <w:b/>
          <w:u w:val="single"/>
        </w:rPr>
        <w:t xml:space="preserve">Personnel </w:t>
      </w:r>
    </w:p>
    <w:p w:rsidR="00761258" w:rsidRPr="00761258" w:rsidRDefault="000F16AC" w:rsidP="00761258">
      <w:pPr>
        <w:pStyle w:val="ListParagraph"/>
        <w:numPr>
          <w:ilvl w:val="0"/>
          <w:numId w:val="15"/>
        </w:numPr>
        <w:rPr>
          <w:rStyle w:val="Heading1Char"/>
          <w:rFonts w:ascii="Times New Roman" w:hAnsi="Times New Roman"/>
          <w:b w:val="0"/>
          <w:bCs w:val="0"/>
          <w:kern w:val="0"/>
          <w:sz w:val="24"/>
          <w:szCs w:val="20"/>
        </w:rPr>
      </w:pPr>
      <w:r w:rsidRPr="001B364D">
        <w:t>Fermilab Divisions and Sections will be responsible for assigning the responsibilities of individuals within the project organization.   The Project Engineer will be responsible for coordinating within the Accelerator Division and other divisions to obtain the appropriate technicians and project support personnel.  The Task Coordinator/ Manager will coordinate with the Fermilab Time and Materials office to arrange</w:t>
      </w:r>
      <w:r w:rsidR="00D61D6F">
        <w:t xml:space="preserve"> all necessary craft support.</w:t>
      </w:r>
      <w:r>
        <w:br w:type="page"/>
      </w:r>
    </w:p>
    <w:p w:rsidR="00761258" w:rsidRPr="00761258" w:rsidRDefault="00761258" w:rsidP="00761258">
      <w:pPr>
        <w:pStyle w:val="Heading1"/>
      </w:pPr>
      <w:bookmarkStart w:id="6" w:name="_Toc365296826"/>
      <w:r>
        <w:lastRenderedPageBreak/>
        <w:t>Project Baseline</w:t>
      </w:r>
      <w:bookmarkEnd w:id="6"/>
    </w:p>
    <w:p w:rsidR="000F16AC" w:rsidRPr="003C28EE" w:rsidRDefault="00761258" w:rsidP="00761258">
      <w:pPr>
        <w:pStyle w:val="ListParagraph"/>
      </w:pPr>
      <w:r w:rsidRPr="003C28EE">
        <w:t xml:space="preserve"> </w:t>
      </w:r>
      <w:r w:rsidR="000F16AC" w:rsidRPr="003C28EE">
        <w:t xml:space="preserve">The Project Baseline identifies the basis for evaluating project performance.  The components are the Work Breakdown Structure, which identifies each component of the project, the Baseline Costs, and Baseline Schedule and Milestones. </w:t>
      </w:r>
    </w:p>
    <w:p w:rsidR="000F16AC" w:rsidRPr="003C28EE" w:rsidRDefault="000F16AC" w:rsidP="000F16AC">
      <w:r w:rsidRPr="003C28EE">
        <w:t xml:space="preserve"> </w:t>
      </w:r>
    </w:p>
    <w:p w:rsidR="000F16AC" w:rsidRPr="003C28EE" w:rsidRDefault="000F16AC" w:rsidP="000F16AC">
      <w:pPr>
        <w:rPr>
          <w:b/>
          <w:u w:val="single"/>
        </w:rPr>
      </w:pPr>
      <w:r w:rsidRPr="003C28EE">
        <w:rPr>
          <w:b/>
          <w:u w:val="single"/>
        </w:rPr>
        <w:t xml:space="preserve">Work Breakdown Structure (WBS) Dictionary  </w:t>
      </w:r>
    </w:p>
    <w:p w:rsidR="000F16AC" w:rsidRPr="003C28EE" w:rsidRDefault="000F16AC" w:rsidP="000F16AC">
      <w:r w:rsidRPr="003C28EE">
        <w:t xml:space="preserve">The WBS will follow the existing </w:t>
      </w:r>
      <w:r w:rsidR="00CB29CD">
        <w:t>Beam Transport and Delivery Ring</w:t>
      </w:r>
      <w:r w:rsidRPr="003C28EE">
        <w:t xml:space="preserve"> WBS.  Listed below is the breakdown of the WBS for this project. Further breakdown of the WBS may be applied as required for accounting purposes.  </w:t>
      </w:r>
    </w:p>
    <w:p w:rsidR="000F16AC" w:rsidRPr="003C28EE" w:rsidRDefault="000F16AC" w:rsidP="000F16AC">
      <w:r w:rsidRPr="003C28E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0F16AC">
        <w:tc>
          <w:tcPr>
            <w:tcW w:w="4788" w:type="dxa"/>
            <w:tcBorders>
              <w:top w:val="nil"/>
              <w:left w:val="nil"/>
              <w:bottom w:val="nil"/>
            </w:tcBorders>
          </w:tcPr>
          <w:p w:rsidR="000F16AC" w:rsidRPr="007C6D75" w:rsidRDefault="000F16AC" w:rsidP="000F16AC">
            <w:pPr>
              <w:jc w:val="center"/>
              <w:rPr>
                <w:b/>
              </w:rPr>
            </w:pPr>
            <w:r w:rsidRPr="007C6D75">
              <w:rPr>
                <w:b/>
              </w:rPr>
              <w:t>WBS</w:t>
            </w:r>
          </w:p>
        </w:tc>
        <w:tc>
          <w:tcPr>
            <w:tcW w:w="4788" w:type="dxa"/>
            <w:tcBorders>
              <w:top w:val="nil"/>
              <w:bottom w:val="nil"/>
              <w:right w:val="nil"/>
            </w:tcBorders>
          </w:tcPr>
          <w:p w:rsidR="000F16AC" w:rsidRPr="007C6D75" w:rsidRDefault="000F16AC" w:rsidP="000F16AC">
            <w:pPr>
              <w:jc w:val="center"/>
              <w:rPr>
                <w:b/>
              </w:rPr>
            </w:pPr>
            <w:r w:rsidRPr="007C6D75">
              <w:rPr>
                <w:b/>
              </w:rPr>
              <w:t>Name</w:t>
            </w:r>
          </w:p>
        </w:tc>
      </w:tr>
      <w:tr w:rsidR="000F16AC">
        <w:tc>
          <w:tcPr>
            <w:tcW w:w="4788" w:type="dxa"/>
            <w:tcBorders>
              <w:top w:val="nil"/>
              <w:left w:val="nil"/>
              <w:bottom w:val="single" w:sz="4" w:space="0" w:color="auto"/>
              <w:right w:val="single" w:sz="4" w:space="0" w:color="auto"/>
            </w:tcBorders>
          </w:tcPr>
          <w:p w:rsidR="000F16AC" w:rsidRDefault="00320C85" w:rsidP="000F16AC">
            <w:pPr>
              <w:jc w:val="both"/>
            </w:pPr>
            <w:r>
              <w:t>DR1.</w:t>
            </w:r>
            <w:r w:rsidR="00421815">
              <w:t>1</w:t>
            </w:r>
          </w:p>
        </w:tc>
        <w:tc>
          <w:tcPr>
            <w:tcW w:w="4788" w:type="dxa"/>
            <w:tcBorders>
              <w:top w:val="nil"/>
              <w:left w:val="single" w:sz="4" w:space="0" w:color="auto"/>
              <w:bottom w:val="single" w:sz="4" w:space="0" w:color="auto"/>
              <w:right w:val="nil"/>
            </w:tcBorders>
          </w:tcPr>
          <w:p w:rsidR="000F16AC" w:rsidRDefault="00E348B0" w:rsidP="000F16AC">
            <w:pPr>
              <w:jc w:val="both"/>
            </w:pPr>
            <w:r>
              <w:t>Project Management</w:t>
            </w:r>
            <w:r w:rsidR="000F16AC">
              <w:t xml:space="preserve"> </w:t>
            </w:r>
          </w:p>
        </w:tc>
      </w:tr>
      <w:tr w:rsidR="000F16AC">
        <w:tc>
          <w:tcPr>
            <w:tcW w:w="4788" w:type="dxa"/>
            <w:tcBorders>
              <w:top w:val="single" w:sz="4" w:space="0" w:color="auto"/>
              <w:left w:val="nil"/>
              <w:bottom w:val="single" w:sz="4" w:space="0" w:color="auto"/>
              <w:right w:val="single" w:sz="4" w:space="0" w:color="auto"/>
            </w:tcBorders>
          </w:tcPr>
          <w:p w:rsidR="000F16AC" w:rsidRDefault="00421815" w:rsidP="000F16AC">
            <w:pPr>
              <w:jc w:val="both"/>
            </w:pPr>
            <w:r>
              <w:t>DR</w:t>
            </w:r>
            <w:r w:rsidR="00E348B0">
              <w:t>1.2</w:t>
            </w:r>
          </w:p>
        </w:tc>
        <w:tc>
          <w:tcPr>
            <w:tcW w:w="4788" w:type="dxa"/>
            <w:tcBorders>
              <w:top w:val="single" w:sz="4" w:space="0" w:color="auto"/>
              <w:left w:val="single" w:sz="4" w:space="0" w:color="auto"/>
              <w:bottom w:val="single" w:sz="4" w:space="0" w:color="auto"/>
              <w:right w:val="nil"/>
            </w:tcBorders>
          </w:tcPr>
          <w:p w:rsidR="000F16AC" w:rsidRDefault="00E348B0" w:rsidP="00E348B0">
            <w:pPr>
              <w:jc w:val="both"/>
            </w:pPr>
            <w:r>
              <w:t>Collider Equipment Removal</w:t>
            </w:r>
          </w:p>
        </w:tc>
      </w:tr>
      <w:tr w:rsidR="000F16AC">
        <w:tc>
          <w:tcPr>
            <w:tcW w:w="4788" w:type="dxa"/>
            <w:tcBorders>
              <w:top w:val="single" w:sz="4" w:space="0" w:color="auto"/>
              <w:left w:val="nil"/>
              <w:bottom w:val="single" w:sz="4" w:space="0" w:color="auto"/>
              <w:right w:val="single" w:sz="4" w:space="0" w:color="auto"/>
            </w:tcBorders>
          </w:tcPr>
          <w:p w:rsidR="000F16AC" w:rsidRDefault="00421815" w:rsidP="000F16AC">
            <w:pPr>
              <w:jc w:val="both"/>
            </w:pPr>
            <w:r>
              <w:t>DR</w:t>
            </w:r>
            <w:r w:rsidR="00E348B0">
              <w:t>1.3</w:t>
            </w:r>
          </w:p>
        </w:tc>
        <w:tc>
          <w:tcPr>
            <w:tcW w:w="4788" w:type="dxa"/>
            <w:tcBorders>
              <w:top w:val="single" w:sz="4" w:space="0" w:color="auto"/>
              <w:left w:val="single" w:sz="4" w:space="0" w:color="auto"/>
              <w:bottom w:val="single" w:sz="4" w:space="0" w:color="auto"/>
              <w:right w:val="nil"/>
            </w:tcBorders>
          </w:tcPr>
          <w:p w:rsidR="000F16AC" w:rsidRDefault="00E348B0" w:rsidP="00E348B0">
            <w:pPr>
              <w:jc w:val="both"/>
            </w:pPr>
            <w:r>
              <w:t>Electrical Infrastructure Improvements</w:t>
            </w:r>
          </w:p>
        </w:tc>
      </w:tr>
      <w:tr w:rsidR="000F16AC">
        <w:tc>
          <w:tcPr>
            <w:tcW w:w="4788" w:type="dxa"/>
            <w:tcBorders>
              <w:top w:val="single" w:sz="4" w:space="0" w:color="auto"/>
              <w:left w:val="nil"/>
              <w:bottom w:val="single" w:sz="4" w:space="0" w:color="auto"/>
              <w:right w:val="single" w:sz="4" w:space="0" w:color="auto"/>
            </w:tcBorders>
          </w:tcPr>
          <w:p w:rsidR="000F16AC" w:rsidRDefault="00421815" w:rsidP="000F16AC">
            <w:pPr>
              <w:jc w:val="both"/>
            </w:pPr>
            <w:r>
              <w:t>DR</w:t>
            </w:r>
            <w:r w:rsidR="00E348B0">
              <w:t>1.4</w:t>
            </w:r>
          </w:p>
        </w:tc>
        <w:tc>
          <w:tcPr>
            <w:tcW w:w="4788" w:type="dxa"/>
            <w:tcBorders>
              <w:top w:val="single" w:sz="4" w:space="0" w:color="auto"/>
              <w:left w:val="single" w:sz="4" w:space="0" w:color="auto"/>
              <w:bottom w:val="single" w:sz="4" w:space="0" w:color="auto"/>
              <w:right w:val="nil"/>
            </w:tcBorders>
          </w:tcPr>
          <w:p w:rsidR="000F16AC" w:rsidRDefault="00E348B0" w:rsidP="00E348B0">
            <w:pPr>
              <w:jc w:val="both"/>
            </w:pPr>
            <w:r>
              <w:t>Controls</w:t>
            </w:r>
          </w:p>
        </w:tc>
      </w:tr>
      <w:tr w:rsidR="005857F4">
        <w:tc>
          <w:tcPr>
            <w:tcW w:w="4788" w:type="dxa"/>
            <w:tcBorders>
              <w:top w:val="single" w:sz="4" w:space="0" w:color="auto"/>
              <w:left w:val="nil"/>
              <w:bottom w:val="single" w:sz="4" w:space="0" w:color="auto"/>
              <w:right w:val="single" w:sz="4" w:space="0" w:color="auto"/>
            </w:tcBorders>
          </w:tcPr>
          <w:p w:rsidR="005857F4" w:rsidRDefault="00421815" w:rsidP="000F16AC">
            <w:pPr>
              <w:jc w:val="both"/>
            </w:pPr>
            <w:r>
              <w:t>DR</w:t>
            </w:r>
            <w:r w:rsidR="00E348B0">
              <w:t>1.5</w:t>
            </w:r>
          </w:p>
        </w:tc>
        <w:tc>
          <w:tcPr>
            <w:tcW w:w="4788" w:type="dxa"/>
            <w:tcBorders>
              <w:top w:val="single" w:sz="4" w:space="0" w:color="auto"/>
              <w:left w:val="single" w:sz="4" w:space="0" w:color="auto"/>
              <w:bottom w:val="single" w:sz="4" w:space="0" w:color="auto"/>
              <w:right w:val="nil"/>
            </w:tcBorders>
          </w:tcPr>
          <w:p w:rsidR="005857F4" w:rsidRDefault="005857F4" w:rsidP="005857F4">
            <w:pPr>
              <w:jc w:val="both"/>
            </w:pPr>
            <w:r>
              <w:t>Instrumentation</w:t>
            </w:r>
          </w:p>
        </w:tc>
      </w:tr>
      <w:tr w:rsidR="00DB060F">
        <w:tc>
          <w:tcPr>
            <w:tcW w:w="4788" w:type="dxa"/>
            <w:tcBorders>
              <w:top w:val="single" w:sz="4" w:space="0" w:color="auto"/>
              <w:left w:val="nil"/>
              <w:bottom w:val="single" w:sz="4" w:space="0" w:color="auto"/>
              <w:right w:val="single" w:sz="4" w:space="0" w:color="auto"/>
            </w:tcBorders>
          </w:tcPr>
          <w:p w:rsidR="00DB060F" w:rsidRDefault="00421815" w:rsidP="00E348B0">
            <w:pPr>
              <w:jc w:val="both"/>
            </w:pPr>
            <w:r>
              <w:t>DR</w:t>
            </w:r>
            <w:r w:rsidR="005857F4">
              <w:t>1.</w:t>
            </w:r>
            <w:r w:rsidR="00E348B0">
              <w:t>6</w:t>
            </w:r>
          </w:p>
        </w:tc>
        <w:tc>
          <w:tcPr>
            <w:tcW w:w="4788" w:type="dxa"/>
            <w:tcBorders>
              <w:top w:val="single" w:sz="4" w:space="0" w:color="auto"/>
              <w:left w:val="single" w:sz="4" w:space="0" w:color="auto"/>
              <w:bottom w:val="single" w:sz="4" w:space="0" w:color="auto"/>
              <w:right w:val="nil"/>
            </w:tcBorders>
          </w:tcPr>
          <w:p w:rsidR="00DB060F" w:rsidRDefault="00E348B0" w:rsidP="005857F4">
            <w:pPr>
              <w:jc w:val="both"/>
            </w:pPr>
            <w:r>
              <w:t>Power Supplies</w:t>
            </w:r>
          </w:p>
        </w:tc>
      </w:tr>
      <w:tr w:rsidR="000F16AC">
        <w:tc>
          <w:tcPr>
            <w:tcW w:w="4788" w:type="dxa"/>
            <w:tcBorders>
              <w:top w:val="single" w:sz="4" w:space="0" w:color="auto"/>
              <w:left w:val="nil"/>
              <w:bottom w:val="single" w:sz="4" w:space="0" w:color="auto"/>
              <w:right w:val="single" w:sz="4" w:space="0" w:color="auto"/>
            </w:tcBorders>
          </w:tcPr>
          <w:p w:rsidR="000F16AC" w:rsidRDefault="00421815" w:rsidP="00E348B0">
            <w:pPr>
              <w:jc w:val="both"/>
            </w:pPr>
            <w:r>
              <w:t>DR</w:t>
            </w:r>
            <w:r w:rsidR="00DB060F">
              <w:t>1.</w:t>
            </w:r>
            <w:r w:rsidR="00E348B0">
              <w:t>7</w:t>
            </w:r>
          </w:p>
        </w:tc>
        <w:tc>
          <w:tcPr>
            <w:tcW w:w="4788" w:type="dxa"/>
            <w:tcBorders>
              <w:top w:val="single" w:sz="4" w:space="0" w:color="auto"/>
              <w:left w:val="single" w:sz="4" w:space="0" w:color="auto"/>
              <w:bottom w:val="single" w:sz="4" w:space="0" w:color="auto"/>
              <w:right w:val="nil"/>
            </w:tcBorders>
          </w:tcPr>
          <w:p w:rsidR="000F16AC" w:rsidRDefault="00E348B0" w:rsidP="005857F4">
            <w:pPr>
              <w:jc w:val="both"/>
            </w:pPr>
            <w:r>
              <w:t>Magnets</w:t>
            </w:r>
          </w:p>
        </w:tc>
      </w:tr>
      <w:tr w:rsidR="000F16AC">
        <w:tc>
          <w:tcPr>
            <w:tcW w:w="4788" w:type="dxa"/>
            <w:tcBorders>
              <w:top w:val="single" w:sz="4" w:space="0" w:color="auto"/>
              <w:left w:val="nil"/>
              <w:bottom w:val="single" w:sz="4" w:space="0" w:color="auto"/>
              <w:right w:val="single" w:sz="4" w:space="0" w:color="auto"/>
            </w:tcBorders>
          </w:tcPr>
          <w:p w:rsidR="000F16AC" w:rsidRDefault="00421815" w:rsidP="000F16AC">
            <w:pPr>
              <w:jc w:val="both"/>
            </w:pPr>
            <w:r>
              <w:t>DR</w:t>
            </w:r>
            <w:r w:rsidR="00DB060F">
              <w:t>1.</w:t>
            </w:r>
            <w:r w:rsidR="00E348B0">
              <w:t>8</w:t>
            </w:r>
          </w:p>
        </w:tc>
        <w:tc>
          <w:tcPr>
            <w:tcW w:w="4788" w:type="dxa"/>
            <w:tcBorders>
              <w:top w:val="single" w:sz="4" w:space="0" w:color="auto"/>
              <w:left w:val="single" w:sz="4" w:space="0" w:color="auto"/>
              <w:bottom w:val="single" w:sz="4" w:space="0" w:color="auto"/>
              <w:right w:val="nil"/>
            </w:tcBorders>
          </w:tcPr>
          <w:p w:rsidR="000F16AC" w:rsidRDefault="00E348B0" w:rsidP="00E348B0">
            <w:pPr>
              <w:jc w:val="both"/>
            </w:pPr>
            <w:r>
              <w:t>Tunnel</w:t>
            </w:r>
            <w:r w:rsidR="00421815">
              <w:t xml:space="preserve"> Installation</w:t>
            </w:r>
          </w:p>
        </w:tc>
      </w:tr>
    </w:tbl>
    <w:p w:rsidR="000F16AC" w:rsidRPr="003C28EE" w:rsidRDefault="000F16AC" w:rsidP="000F16AC"/>
    <w:p w:rsidR="000F16AC" w:rsidRPr="003C28EE" w:rsidRDefault="000F16AC" w:rsidP="000F16AC">
      <w:r w:rsidRPr="003C28EE">
        <w:t xml:space="preserve">For accounting purposes, the </w:t>
      </w:r>
      <w:r w:rsidR="00421815">
        <w:t>contingency</w:t>
      </w:r>
      <w:r w:rsidRPr="003C28EE">
        <w:t xml:space="preserve"> of the above listed WBS items will be included in the WBS items</w:t>
      </w:r>
      <w:r w:rsidRPr="00B2740A">
        <w:t xml:space="preserve">.  DOE Guide G430.1-1, Chapter 11 was </w:t>
      </w:r>
      <w:r w:rsidRPr="003C28EE">
        <w:t xml:space="preserve">used as guidance in estimating the appropriate </w:t>
      </w:r>
      <w:r w:rsidR="00421815">
        <w:t>contingency</w:t>
      </w:r>
      <w:r w:rsidRPr="003C28EE">
        <w:t xml:space="preserve"> for this project.  </w:t>
      </w:r>
    </w:p>
    <w:p w:rsidR="000F16AC" w:rsidRPr="003C28EE" w:rsidRDefault="000F16AC" w:rsidP="000F16AC">
      <w:r w:rsidRPr="003C28EE">
        <w:t xml:space="preserve"> </w:t>
      </w:r>
    </w:p>
    <w:p w:rsidR="000F16AC" w:rsidRPr="003C28EE" w:rsidRDefault="000F16AC" w:rsidP="000F16AC">
      <w:r w:rsidRPr="003C28EE">
        <w:t xml:space="preserve">For accounting purposes, the indirect costs of the above listed WBS items will be included in the WBS items.  </w:t>
      </w:r>
      <w:r w:rsidR="00B2740A">
        <w:t>I</w:t>
      </w:r>
      <w:r w:rsidRPr="003C28EE">
        <w:t xml:space="preserve">ndirect costs are "...costs incurred by an organization for common or joint objectives and which cannot be identified specifically with a particular activity or project.  The multipliers used in this document are based on current Fermilab rates in effect as </w:t>
      </w:r>
      <w:r w:rsidRPr="00B2740A">
        <w:t>of January 20</w:t>
      </w:r>
      <w:r w:rsidR="00E348B0" w:rsidRPr="00B2740A">
        <w:t>13</w:t>
      </w:r>
      <w:r w:rsidRPr="00B2740A">
        <w:t xml:space="preserve">. </w:t>
      </w:r>
    </w:p>
    <w:p w:rsidR="000F16AC" w:rsidRPr="003C28EE" w:rsidRDefault="000F16AC" w:rsidP="000F16AC">
      <w:r w:rsidRPr="003C28EE">
        <w:t xml:space="preserve"> </w:t>
      </w:r>
    </w:p>
    <w:p w:rsidR="000F16AC" w:rsidRPr="003C28EE" w:rsidRDefault="000F16AC" w:rsidP="000F16AC">
      <w:pPr>
        <w:rPr>
          <w:b/>
          <w:u w:val="single"/>
        </w:rPr>
      </w:pPr>
      <w:r w:rsidRPr="003C28EE">
        <w:rPr>
          <w:b/>
          <w:u w:val="single"/>
        </w:rPr>
        <w:t>Baseline Project Costs</w:t>
      </w:r>
      <w:r w:rsidRPr="00E348B0">
        <w:rPr>
          <w:b/>
        </w:rPr>
        <w:t xml:space="preserve"> </w:t>
      </w:r>
      <w:r w:rsidR="00E348B0" w:rsidRPr="00E348B0">
        <w:rPr>
          <w:b/>
        </w:rPr>
        <w:t xml:space="preserve"> </w:t>
      </w:r>
    </w:p>
    <w:p w:rsidR="000F16AC" w:rsidRDefault="000F16AC" w:rsidP="000F16AC">
      <w:r w:rsidRPr="003C28EE">
        <w:t>Listed below are the baseline project costs for this project.</w:t>
      </w:r>
    </w:p>
    <w:p w:rsidR="001420CD" w:rsidRDefault="001420CD" w:rsidP="000F16AC">
      <w:pPr>
        <w:rPr>
          <w:b/>
          <w:u w:val="single"/>
        </w:rPr>
      </w:pPr>
    </w:p>
    <w:p w:rsidR="001420CD" w:rsidRDefault="00112102" w:rsidP="000F16AC">
      <w:pPr>
        <w:rPr>
          <w:b/>
          <w:u w:val="single"/>
        </w:rPr>
      </w:pPr>
      <w:r w:rsidRPr="00112102">
        <w:rPr>
          <w:noProof/>
        </w:rPr>
        <w:drawing>
          <wp:inline distT="0" distB="0" distL="0" distR="0" wp14:anchorId="7F5702ED" wp14:editId="48184844">
            <wp:extent cx="5943600" cy="16193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19382"/>
                    </a:xfrm>
                    <a:prstGeom prst="rect">
                      <a:avLst/>
                    </a:prstGeom>
                    <a:noFill/>
                    <a:ln>
                      <a:noFill/>
                    </a:ln>
                  </pic:spPr>
                </pic:pic>
              </a:graphicData>
            </a:graphic>
          </wp:inline>
        </w:drawing>
      </w:r>
    </w:p>
    <w:p w:rsidR="001420CD" w:rsidRDefault="001420CD" w:rsidP="000F16AC">
      <w:pPr>
        <w:rPr>
          <w:b/>
          <w:u w:val="single"/>
        </w:rPr>
      </w:pPr>
    </w:p>
    <w:p w:rsidR="000F16AC" w:rsidRPr="00F71279" w:rsidRDefault="000F16AC" w:rsidP="000F16AC">
      <w:pPr>
        <w:rPr>
          <w:b/>
          <w:u w:val="single"/>
        </w:rPr>
      </w:pPr>
      <w:r w:rsidRPr="00F71279">
        <w:rPr>
          <w:b/>
          <w:u w:val="single"/>
        </w:rPr>
        <w:t xml:space="preserve">Escalation </w:t>
      </w:r>
    </w:p>
    <w:p w:rsidR="000F16AC" w:rsidRPr="009F31BB" w:rsidRDefault="000F16AC" w:rsidP="000F16AC">
      <w:r w:rsidRPr="009F31BB">
        <w:t xml:space="preserve">The baseline estimates have been escalated by task within Microsoft Project using the following escalation rates: </w:t>
      </w:r>
    </w:p>
    <w:p w:rsidR="000F16AC" w:rsidRPr="00B2740A" w:rsidRDefault="00E348B0" w:rsidP="000F16AC">
      <w:r w:rsidRPr="00B2740A">
        <w:t>M&amp;S= 2.7% /year (FY14, FY15, FY16, FY17</w:t>
      </w:r>
      <w:r w:rsidR="000F16AC" w:rsidRPr="00B2740A">
        <w:t xml:space="preserve">) </w:t>
      </w:r>
    </w:p>
    <w:p w:rsidR="000F16AC" w:rsidRPr="00B2740A" w:rsidRDefault="00E348B0" w:rsidP="000F16AC">
      <w:r w:rsidRPr="00B2740A">
        <w:t>SWF= 2.7</w:t>
      </w:r>
      <w:r w:rsidR="000F16AC" w:rsidRPr="00B2740A">
        <w:t xml:space="preserve">% /year </w:t>
      </w:r>
      <w:r w:rsidRPr="00B2740A">
        <w:t>(FY14, FY15, FY16, FY17)</w:t>
      </w:r>
    </w:p>
    <w:p w:rsidR="000F16AC" w:rsidRPr="009F31BB" w:rsidRDefault="000F16AC" w:rsidP="000F16AC">
      <w:r w:rsidRPr="009F31BB">
        <w:t xml:space="preserve">The rates utilized for Materials and Service (M&amp;S) are as suggested by the most recent OECM published escalation rates.  The escalation rates for Salary with Fringe (SWF, Labor) costs are based on input from the Fermilab Directorate based on our latest understanding of </w:t>
      </w:r>
      <w:r w:rsidR="008E398C">
        <w:t>our annual</w:t>
      </w:r>
      <w:r w:rsidRPr="009F31BB">
        <w:t xml:space="preserve"> labor costs.</w:t>
      </w:r>
    </w:p>
    <w:p w:rsidR="000F16AC" w:rsidRDefault="000F16AC" w:rsidP="000F16AC">
      <w:pPr>
        <w:rPr>
          <w:color w:val="FF0000"/>
        </w:rPr>
      </w:pPr>
    </w:p>
    <w:p w:rsidR="000F16AC" w:rsidRPr="00F71279" w:rsidRDefault="000F16AC" w:rsidP="000F16AC">
      <w:pPr>
        <w:rPr>
          <w:b/>
          <w:u w:val="single"/>
        </w:rPr>
      </w:pPr>
      <w:r w:rsidRPr="00F71279">
        <w:rPr>
          <w:b/>
          <w:u w:val="single"/>
        </w:rPr>
        <w:t xml:space="preserve">Baseline Project Milestones </w:t>
      </w:r>
    </w:p>
    <w:p w:rsidR="000F16AC" w:rsidRPr="00F71279" w:rsidRDefault="000F16AC" w:rsidP="000F16AC">
      <w:r w:rsidRPr="00F71279">
        <w:t xml:space="preserve">The baseline milestones listed below sets forth the major activities essential for the completion of the project.  </w:t>
      </w:r>
      <w:r>
        <w:t>Note that tunnel and service b</w:t>
      </w:r>
      <w:r w:rsidR="008F534D">
        <w:t>uilding installation</w:t>
      </w:r>
      <w:r>
        <w:t xml:space="preserve"> milestones are tied to accelerator shutdowns that are outside the control of this project.  </w:t>
      </w:r>
    </w:p>
    <w:p w:rsidR="000F16AC" w:rsidRPr="00F71279" w:rsidRDefault="000F16AC" w:rsidP="000F16AC">
      <w:r w:rsidRPr="00F71279">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F16AC">
        <w:tc>
          <w:tcPr>
            <w:tcW w:w="3192" w:type="dxa"/>
            <w:shd w:val="pct25" w:color="auto" w:fill="auto"/>
          </w:tcPr>
          <w:p w:rsidR="000F16AC" w:rsidRPr="007C6D75" w:rsidRDefault="000F16AC" w:rsidP="000F16AC">
            <w:pPr>
              <w:jc w:val="center"/>
              <w:rPr>
                <w:b/>
              </w:rPr>
            </w:pPr>
            <w:r w:rsidRPr="007C6D75">
              <w:rPr>
                <w:b/>
              </w:rPr>
              <w:t>MILESTONE</w:t>
            </w:r>
          </w:p>
        </w:tc>
        <w:tc>
          <w:tcPr>
            <w:tcW w:w="3192" w:type="dxa"/>
            <w:shd w:val="pct25" w:color="auto" w:fill="auto"/>
          </w:tcPr>
          <w:p w:rsidR="000F16AC" w:rsidRPr="007C6D75" w:rsidRDefault="000F16AC" w:rsidP="000F16AC">
            <w:pPr>
              <w:jc w:val="center"/>
              <w:rPr>
                <w:b/>
              </w:rPr>
            </w:pPr>
            <w:r w:rsidRPr="007C6D75">
              <w:rPr>
                <w:b/>
              </w:rPr>
              <w:t>DEFINITION</w:t>
            </w:r>
          </w:p>
        </w:tc>
        <w:tc>
          <w:tcPr>
            <w:tcW w:w="3192" w:type="dxa"/>
            <w:shd w:val="pct25" w:color="auto" w:fill="auto"/>
          </w:tcPr>
          <w:p w:rsidR="000F16AC" w:rsidRPr="007C6D75" w:rsidRDefault="000F16AC" w:rsidP="000F16AC">
            <w:pPr>
              <w:jc w:val="center"/>
              <w:rPr>
                <w:b/>
              </w:rPr>
            </w:pPr>
            <w:r w:rsidRPr="007C6D75">
              <w:rPr>
                <w:b/>
              </w:rPr>
              <w:t>BASELINE</w:t>
            </w:r>
          </w:p>
        </w:tc>
      </w:tr>
      <w:tr w:rsidR="000F16AC">
        <w:tc>
          <w:tcPr>
            <w:tcW w:w="3192" w:type="dxa"/>
          </w:tcPr>
          <w:p w:rsidR="000F16AC" w:rsidRDefault="000F16AC" w:rsidP="000F16AC">
            <w:r>
              <w:t>Start Project</w:t>
            </w:r>
          </w:p>
        </w:tc>
        <w:tc>
          <w:tcPr>
            <w:tcW w:w="3192" w:type="dxa"/>
          </w:tcPr>
          <w:p w:rsidR="000F16AC" w:rsidRDefault="000F16AC" w:rsidP="000F16AC">
            <w:r>
              <w:t>Directive signed</w:t>
            </w:r>
          </w:p>
        </w:tc>
        <w:tc>
          <w:tcPr>
            <w:tcW w:w="3192" w:type="dxa"/>
          </w:tcPr>
          <w:p w:rsidR="000F16AC" w:rsidRPr="002072D7" w:rsidRDefault="000F16AC" w:rsidP="000F16AC">
            <w:r w:rsidRPr="002072D7">
              <w:t xml:space="preserve">Month 0 </w:t>
            </w:r>
          </w:p>
        </w:tc>
      </w:tr>
      <w:tr w:rsidR="00E35028">
        <w:tc>
          <w:tcPr>
            <w:tcW w:w="3192" w:type="dxa"/>
          </w:tcPr>
          <w:p w:rsidR="00E35028" w:rsidRDefault="00E35028" w:rsidP="005B521D">
            <w:r>
              <w:t>End of circulating beam studies</w:t>
            </w:r>
          </w:p>
        </w:tc>
        <w:tc>
          <w:tcPr>
            <w:tcW w:w="3192" w:type="dxa"/>
          </w:tcPr>
          <w:p w:rsidR="00E35028" w:rsidRDefault="00E35028" w:rsidP="005B521D">
            <w:r>
              <w:t>Studies using Antiproton Source configuration complete</w:t>
            </w:r>
          </w:p>
        </w:tc>
        <w:tc>
          <w:tcPr>
            <w:tcW w:w="3192" w:type="dxa"/>
          </w:tcPr>
          <w:p w:rsidR="00E35028" w:rsidRPr="002072D7" w:rsidRDefault="00E35028" w:rsidP="005B521D">
            <w:r w:rsidRPr="002072D7">
              <w:t xml:space="preserve">Month </w:t>
            </w:r>
            <w:r>
              <w:t>9</w:t>
            </w:r>
          </w:p>
        </w:tc>
      </w:tr>
      <w:tr w:rsidR="00E35028">
        <w:tc>
          <w:tcPr>
            <w:tcW w:w="3192" w:type="dxa"/>
          </w:tcPr>
          <w:p w:rsidR="00E35028" w:rsidRDefault="00E35028" w:rsidP="005B521D">
            <w:r>
              <w:t>Controls links to ring buildings established</w:t>
            </w:r>
          </w:p>
        </w:tc>
        <w:tc>
          <w:tcPr>
            <w:tcW w:w="3192" w:type="dxa"/>
          </w:tcPr>
          <w:p w:rsidR="00E35028" w:rsidRDefault="00E35028" w:rsidP="005B521D">
            <w:r>
              <w:t>Ring controls operating via new controls duct to AP30</w:t>
            </w:r>
          </w:p>
        </w:tc>
        <w:tc>
          <w:tcPr>
            <w:tcW w:w="3192" w:type="dxa"/>
          </w:tcPr>
          <w:p w:rsidR="00E35028" w:rsidRPr="002072D7" w:rsidRDefault="00E35028" w:rsidP="005B521D">
            <w:r w:rsidRPr="002072D7">
              <w:t xml:space="preserve">Month </w:t>
            </w:r>
            <w:r>
              <w:t>10</w:t>
            </w:r>
          </w:p>
        </w:tc>
      </w:tr>
      <w:tr w:rsidR="00E35028">
        <w:tc>
          <w:tcPr>
            <w:tcW w:w="3192" w:type="dxa"/>
          </w:tcPr>
          <w:p w:rsidR="00E35028" w:rsidRDefault="00C02DC6" w:rsidP="005B521D">
            <w:r>
              <w:t>Collider equipment removal complete</w:t>
            </w:r>
          </w:p>
        </w:tc>
        <w:tc>
          <w:tcPr>
            <w:tcW w:w="3192" w:type="dxa"/>
          </w:tcPr>
          <w:p w:rsidR="00E35028" w:rsidRDefault="00C02DC6" w:rsidP="005B521D">
            <w:r>
              <w:t>Obsolete collider equipment removed from tunnel and service buildings</w:t>
            </w:r>
          </w:p>
        </w:tc>
        <w:tc>
          <w:tcPr>
            <w:tcW w:w="3192" w:type="dxa"/>
          </w:tcPr>
          <w:p w:rsidR="00E35028" w:rsidRPr="002072D7" w:rsidRDefault="00E35028" w:rsidP="005B521D">
            <w:r w:rsidRPr="002072D7">
              <w:t xml:space="preserve">Month </w:t>
            </w:r>
            <w:r>
              <w:t>1</w:t>
            </w:r>
            <w:r w:rsidR="00C02DC6">
              <w:t>6</w:t>
            </w:r>
          </w:p>
        </w:tc>
      </w:tr>
      <w:tr w:rsidR="00E35028">
        <w:tc>
          <w:tcPr>
            <w:tcW w:w="3192" w:type="dxa"/>
          </w:tcPr>
          <w:p w:rsidR="00E35028" w:rsidRDefault="00C02DC6" w:rsidP="000072AD">
            <w:r>
              <w:t>Beam line beneficial occupancy</w:t>
            </w:r>
          </w:p>
        </w:tc>
        <w:tc>
          <w:tcPr>
            <w:tcW w:w="3192" w:type="dxa"/>
          </w:tcPr>
          <w:p w:rsidR="00E35028" w:rsidRDefault="00C02DC6" w:rsidP="000F16AC">
            <w:r>
              <w:t>New external beam line enclosure turned over for installation</w:t>
            </w:r>
          </w:p>
        </w:tc>
        <w:tc>
          <w:tcPr>
            <w:tcW w:w="3192" w:type="dxa"/>
          </w:tcPr>
          <w:p w:rsidR="00E35028" w:rsidRPr="002072D7" w:rsidRDefault="00E35028" w:rsidP="000F16AC">
            <w:r>
              <w:t xml:space="preserve">Month </w:t>
            </w:r>
            <w:r w:rsidR="00C02DC6">
              <w:t>22</w:t>
            </w:r>
          </w:p>
        </w:tc>
      </w:tr>
      <w:tr w:rsidR="00E35028">
        <w:tc>
          <w:tcPr>
            <w:tcW w:w="3192" w:type="dxa"/>
          </w:tcPr>
          <w:p w:rsidR="00E35028" w:rsidRDefault="00C02DC6" w:rsidP="000072AD">
            <w:r>
              <w:t>Electrical infrastructure upgrades complete</w:t>
            </w:r>
          </w:p>
        </w:tc>
        <w:tc>
          <w:tcPr>
            <w:tcW w:w="3192" w:type="dxa"/>
          </w:tcPr>
          <w:p w:rsidR="00E35028" w:rsidRDefault="00C02DC6" w:rsidP="000F16AC">
            <w:r>
              <w:t>AP30 and AP50 building power distribution upgrades installed</w:t>
            </w:r>
          </w:p>
        </w:tc>
        <w:tc>
          <w:tcPr>
            <w:tcW w:w="3192" w:type="dxa"/>
          </w:tcPr>
          <w:p w:rsidR="00E35028" w:rsidRPr="002072D7" w:rsidRDefault="00E35028" w:rsidP="000F16AC">
            <w:r>
              <w:t xml:space="preserve">Month </w:t>
            </w:r>
            <w:r w:rsidR="00C02DC6">
              <w:t>27</w:t>
            </w:r>
          </w:p>
        </w:tc>
      </w:tr>
      <w:tr w:rsidR="00E35028">
        <w:tc>
          <w:tcPr>
            <w:tcW w:w="3192" w:type="dxa"/>
          </w:tcPr>
          <w:p w:rsidR="00E35028" w:rsidRDefault="00C02DC6" w:rsidP="000072AD">
            <w:r>
              <w:t>Magnet construction complete</w:t>
            </w:r>
          </w:p>
        </w:tc>
        <w:tc>
          <w:tcPr>
            <w:tcW w:w="3192" w:type="dxa"/>
          </w:tcPr>
          <w:p w:rsidR="00E35028" w:rsidRDefault="00C02DC6" w:rsidP="000F16AC">
            <w:r>
              <w:t>Magnets built or refurbished by Technical Division delivered for installation</w:t>
            </w:r>
          </w:p>
        </w:tc>
        <w:tc>
          <w:tcPr>
            <w:tcW w:w="3192" w:type="dxa"/>
          </w:tcPr>
          <w:p w:rsidR="00E35028" w:rsidRPr="002072D7" w:rsidRDefault="00E35028" w:rsidP="000F16AC">
            <w:r>
              <w:t xml:space="preserve">Month </w:t>
            </w:r>
            <w:r w:rsidR="00C02DC6">
              <w:t>39</w:t>
            </w:r>
          </w:p>
        </w:tc>
      </w:tr>
      <w:tr w:rsidR="00C02DC6">
        <w:tc>
          <w:tcPr>
            <w:tcW w:w="3192" w:type="dxa"/>
          </w:tcPr>
          <w:p w:rsidR="00C02DC6" w:rsidRDefault="00C02DC6" w:rsidP="000072AD">
            <w:r>
              <w:t>Installation complete</w:t>
            </w:r>
          </w:p>
        </w:tc>
        <w:tc>
          <w:tcPr>
            <w:tcW w:w="3192" w:type="dxa"/>
          </w:tcPr>
          <w:p w:rsidR="00C02DC6" w:rsidRDefault="00C02DC6" w:rsidP="000F16AC">
            <w:r>
              <w:t>Installation of all equipment necessary to run g-2 is installed.</w:t>
            </w:r>
          </w:p>
        </w:tc>
        <w:tc>
          <w:tcPr>
            <w:tcW w:w="3192" w:type="dxa"/>
          </w:tcPr>
          <w:p w:rsidR="00C02DC6" w:rsidRDefault="00C02DC6" w:rsidP="000F16AC">
            <w:r>
              <w:t>Month 44</w:t>
            </w:r>
          </w:p>
        </w:tc>
      </w:tr>
      <w:tr w:rsidR="00E35028">
        <w:tc>
          <w:tcPr>
            <w:tcW w:w="3192" w:type="dxa"/>
          </w:tcPr>
          <w:p w:rsidR="00E35028" w:rsidRDefault="00E35028" w:rsidP="000F16AC">
            <w:r>
              <w:t>Project Complete</w:t>
            </w:r>
          </w:p>
        </w:tc>
        <w:tc>
          <w:tcPr>
            <w:tcW w:w="3192" w:type="dxa"/>
          </w:tcPr>
          <w:p w:rsidR="00E35028" w:rsidRDefault="00E35028" w:rsidP="000F16AC">
            <w:r>
              <w:t>Project Closed</w:t>
            </w:r>
          </w:p>
        </w:tc>
        <w:tc>
          <w:tcPr>
            <w:tcW w:w="3192" w:type="dxa"/>
          </w:tcPr>
          <w:p w:rsidR="00E35028" w:rsidRPr="002072D7" w:rsidRDefault="00E35028" w:rsidP="008F534D">
            <w:r>
              <w:t>Month 4</w:t>
            </w:r>
            <w:r w:rsidR="00C02DC6">
              <w:t>4</w:t>
            </w:r>
          </w:p>
        </w:tc>
      </w:tr>
    </w:tbl>
    <w:p w:rsidR="000F16AC" w:rsidRPr="00D150AE" w:rsidRDefault="000F16AC" w:rsidP="000F16AC">
      <w:pPr>
        <w:rPr>
          <w:color w:val="8064A2"/>
        </w:rPr>
      </w:pPr>
    </w:p>
    <w:p w:rsidR="000F16AC" w:rsidRPr="00F71279" w:rsidRDefault="000F16AC" w:rsidP="000F16AC">
      <w:r w:rsidRPr="00D150AE">
        <w:rPr>
          <w:color w:val="8064A2"/>
        </w:rPr>
        <w:br w:type="page"/>
      </w:r>
    </w:p>
    <w:p w:rsidR="000F16AC" w:rsidRPr="00F71279" w:rsidRDefault="001420CD" w:rsidP="000F16AC">
      <w:pPr>
        <w:rPr>
          <w:b/>
          <w:u w:val="single"/>
        </w:rPr>
      </w:pPr>
      <w:r>
        <w:rPr>
          <w:b/>
          <w:u w:val="single"/>
        </w:rPr>
        <w:lastRenderedPageBreak/>
        <w:t>Obligation</w:t>
      </w:r>
      <w:r w:rsidR="000F16AC" w:rsidRPr="00F71279">
        <w:rPr>
          <w:b/>
          <w:u w:val="single"/>
        </w:rPr>
        <w:t xml:space="preserve"> Profile </w:t>
      </w:r>
    </w:p>
    <w:p w:rsidR="000F16AC" w:rsidRPr="00F71279" w:rsidRDefault="000F16AC" w:rsidP="000F16AC">
      <w:r w:rsidRPr="00F71279">
        <w:t xml:space="preserve"> </w:t>
      </w:r>
    </w:p>
    <w:p w:rsidR="000F16AC" w:rsidRDefault="000F16AC" w:rsidP="000F16AC">
      <w:r w:rsidRPr="00F71279">
        <w:t xml:space="preserve">Listed below </w:t>
      </w:r>
      <w:proofErr w:type="gramStart"/>
      <w:r w:rsidRPr="00F71279">
        <w:t>are</w:t>
      </w:r>
      <w:proofErr w:type="gramEnd"/>
      <w:r w:rsidRPr="00F71279">
        <w:t xml:space="preserve"> the anticipated total Obligation Profile for this project as contained in the Fermilab Project Request Form.</w:t>
      </w:r>
    </w:p>
    <w:p w:rsidR="001420CD" w:rsidRDefault="001420CD" w:rsidP="000F16AC"/>
    <w:p w:rsidR="001420CD" w:rsidRDefault="00112102" w:rsidP="000F16AC">
      <w:r w:rsidRPr="00112102">
        <w:rPr>
          <w:noProof/>
        </w:rPr>
        <w:drawing>
          <wp:inline distT="0" distB="0" distL="0" distR="0" wp14:anchorId="07B58847" wp14:editId="5A39C7A9">
            <wp:extent cx="5943600" cy="262717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27171"/>
                    </a:xfrm>
                    <a:prstGeom prst="rect">
                      <a:avLst/>
                    </a:prstGeom>
                    <a:noFill/>
                    <a:ln>
                      <a:noFill/>
                    </a:ln>
                  </pic:spPr>
                </pic:pic>
              </a:graphicData>
            </a:graphic>
          </wp:inline>
        </w:drawing>
      </w:r>
    </w:p>
    <w:p w:rsidR="001420CD" w:rsidRDefault="001420CD" w:rsidP="000F16AC"/>
    <w:p w:rsidR="001420CD" w:rsidRDefault="001420CD" w:rsidP="000F16AC"/>
    <w:p w:rsidR="000F16AC" w:rsidRDefault="000F16AC" w:rsidP="000F16AC"/>
    <w:p w:rsidR="000F16AC" w:rsidRPr="00F71279" w:rsidRDefault="000F16AC" w:rsidP="000F16AC"/>
    <w:p w:rsidR="000F16AC" w:rsidRDefault="000F16AC" w:rsidP="000F16AC">
      <w:pPr>
        <w:pStyle w:val="Heading1"/>
      </w:pPr>
      <w:r>
        <w:br w:type="page"/>
      </w:r>
      <w:bookmarkStart w:id="7" w:name="_Toc365296827"/>
      <w:r>
        <w:lastRenderedPageBreak/>
        <w:t>Acquisition Execution Plan</w:t>
      </w:r>
      <w:bookmarkEnd w:id="7"/>
    </w:p>
    <w:p w:rsidR="000F16AC" w:rsidRPr="00F71279" w:rsidRDefault="000F16AC" w:rsidP="000F16AC">
      <w:r w:rsidRPr="00F71279">
        <w:t xml:space="preserve">The project management, construction management, installation and inspection for this project </w:t>
      </w:r>
      <w:proofErr w:type="gramStart"/>
      <w:r w:rsidRPr="00F71279">
        <w:t>is</w:t>
      </w:r>
      <w:proofErr w:type="gramEnd"/>
      <w:r w:rsidRPr="00F71279">
        <w:t xml:space="preserve"> being performed in compliance with the applicable </w:t>
      </w:r>
      <w:r>
        <w:t>DOE</w:t>
      </w:r>
      <w:r w:rsidRPr="00F71279">
        <w:t xml:space="preserve"> Orders, Laboratory Policy and Procedures and in accordance with the Work Breakdown Structure.  </w:t>
      </w:r>
    </w:p>
    <w:p w:rsidR="000F16AC" w:rsidRPr="00F71279" w:rsidRDefault="000F16AC" w:rsidP="000F16AC">
      <w:r w:rsidRPr="00F71279">
        <w:t xml:space="preserve"> </w:t>
      </w:r>
    </w:p>
    <w:p w:rsidR="000F16AC" w:rsidRPr="00F71279" w:rsidRDefault="000F16AC" w:rsidP="000F16AC">
      <w:r w:rsidRPr="00F71279">
        <w:t xml:space="preserve">     </w:t>
      </w:r>
    </w:p>
    <w:p w:rsidR="000F16AC" w:rsidRPr="00F71279" w:rsidRDefault="000F16AC" w:rsidP="000F16AC">
      <w:r w:rsidRPr="00F71279">
        <w:t xml:space="preserve"> </w:t>
      </w:r>
    </w:p>
    <w:p w:rsidR="000F16AC" w:rsidRPr="00F71279" w:rsidRDefault="000F16AC" w:rsidP="000F16AC">
      <w:pPr>
        <w:rPr>
          <w:b/>
          <w:u w:val="single"/>
        </w:rPr>
      </w:pPr>
      <w:r w:rsidRPr="00F71279">
        <w:rPr>
          <w:b/>
          <w:u w:val="single"/>
        </w:rPr>
        <w:t xml:space="preserve">Engineering, Design, Inspection and Administration </w:t>
      </w:r>
    </w:p>
    <w:p w:rsidR="000F16AC" w:rsidRPr="00F71279" w:rsidRDefault="000F16AC" w:rsidP="000F16AC">
      <w:r w:rsidRPr="00F71279">
        <w:t xml:space="preserve">Preliminary Engineering </w:t>
      </w:r>
      <w:proofErr w:type="gramStart"/>
      <w:r w:rsidRPr="00F71279">
        <w:t>design were</w:t>
      </w:r>
      <w:proofErr w:type="gramEnd"/>
      <w:r w:rsidRPr="00F71279">
        <w:t xml:space="preserve"> performed in conjunction with the research and development efforts and are not included herein. Engineering Design, Inspection and Administration efforts for the fabrication and installation will consist of Fermilab AD and TD personnel.     </w:t>
      </w:r>
    </w:p>
    <w:p w:rsidR="000F16AC" w:rsidRPr="00F71279" w:rsidRDefault="000F16AC" w:rsidP="000F16AC">
      <w:r w:rsidRPr="00F71279">
        <w:t xml:space="preserve"> </w:t>
      </w:r>
    </w:p>
    <w:p w:rsidR="000F16AC" w:rsidRPr="00F71279" w:rsidRDefault="000F16AC" w:rsidP="000F16AC">
      <w:r w:rsidRPr="00F71279">
        <w:t xml:space="preserve">A </w:t>
      </w:r>
      <w:r w:rsidRPr="00B2740A">
        <w:t xml:space="preserve">Davis-Bacon </w:t>
      </w:r>
      <w:r w:rsidRPr="00F71279">
        <w:t xml:space="preserve">determination has been prepared for this project and a copy is </w:t>
      </w:r>
    </w:p>
    <w:p w:rsidR="000F16AC" w:rsidRPr="00F71279" w:rsidRDefault="000F16AC" w:rsidP="000F16AC">
      <w:proofErr w:type="gramStart"/>
      <w:r w:rsidRPr="00F71279">
        <w:t>attached</w:t>
      </w:r>
      <w:proofErr w:type="gramEnd"/>
      <w:r w:rsidRPr="00F71279">
        <w:t xml:space="preserve"> in the appendix.    </w:t>
      </w:r>
    </w:p>
    <w:p w:rsidR="000F16AC" w:rsidRDefault="000F16AC" w:rsidP="000F1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Pr>
          <w:rFonts w:ascii="Arial" w:hAnsi="Arial" w:cs="Arial"/>
          <w:szCs w:val="24"/>
        </w:rPr>
        <w:t xml:space="preserve"> </w:t>
      </w:r>
    </w:p>
    <w:p w:rsidR="000F16AC" w:rsidRDefault="000F16AC" w:rsidP="000F16AC">
      <w:pPr>
        <w:pStyle w:val="Heading1"/>
      </w:pPr>
      <w:r>
        <w:br w:type="page"/>
      </w:r>
      <w:bookmarkStart w:id="8" w:name="_Toc365296828"/>
      <w:r>
        <w:lastRenderedPageBreak/>
        <w:t>Project Controls</w:t>
      </w:r>
      <w:bookmarkEnd w:id="8"/>
    </w:p>
    <w:p w:rsidR="000F16AC" w:rsidRPr="009254B9" w:rsidRDefault="000F16AC" w:rsidP="000F16AC">
      <w:pPr>
        <w:rPr>
          <w:b/>
          <w:u w:val="single"/>
        </w:rPr>
      </w:pPr>
      <w:r w:rsidRPr="009254B9">
        <w:rPr>
          <w:b/>
          <w:u w:val="single"/>
        </w:rPr>
        <w:t xml:space="preserve">Cost Control </w:t>
      </w:r>
    </w:p>
    <w:p w:rsidR="000F16AC" w:rsidRPr="009254B9" w:rsidRDefault="000F16AC" w:rsidP="000F16AC">
      <w:r w:rsidRPr="009254B9">
        <w:t xml:space="preserve">The baseline budget for each element will be shown on all reports.  Costs accrued by these accounts will be reported monthly on a report issued by the </w:t>
      </w:r>
      <w:r>
        <w:t>Finance</w:t>
      </w:r>
      <w:r w:rsidRPr="009254B9">
        <w:t xml:space="preserve"> Section.  The Project Manager will review the report and verify the validity of all cost charges during the reporting period that commitments are correct and that projections of costs can be covered by the </w:t>
      </w:r>
    </w:p>
    <w:p w:rsidR="000F16AC" w:rsidRPr="009254B9" w:rsidRDefault="000F16AC" w:rsidP="000F16AC">
      <w:proofErr w:type="gramStart"/>
      <w:r w:rsidRPr="009254B9">
        <w:t>baseline</w:t>
      </w:r>
      <w:proofErr w:type="gramEnd"/>
      <w:r w:rsidRPr="009254B9">
        <w:t xml:space="preserve"> budget for each work element.   </w:t>
      </w:r>
    </w:p>
    <w:p w:rsidR="000F16AC" w:rsidRPr="009254B9" w:rsidRDefault="000F16AC" w:rsidP="000F16AC">
      <w:r w:rsidRPr="009254B9">
        <w:t xml:space="preserve"> </w:t>
      </w:r>
    </w:p>
    <w:p w:rsidR="000F16AC" w:rsidRPr="009254B9" w:rsidRDefault="000F16AC" w:rsidP="000F16AC">
      <w:r w:rsidRPr="009254B9">
        <w:t xml:space="preserve">The Project Manager has the responsibility for the use and commitment of project funds.  Any costs or commitments that are made without his signed approval or that of higher Laboratory management may be rejected.   </w:t>
      </w:r>
    </w:p>
    <w:p w:rsidR="000F16AC" w:rsidRPr="009254B9" w:rsidRDefault="000F16AC" w:rsidP="000F16AC">
      <w:r w:rsidRPr="009254B9">
        <w:t xml:space="preserve"> </w:t>
      </w:r>
    </w:p>
    <w:p w:rsidR="000F16AC" w:rsidRPr="009254B9" w:rsidRDefault="000F16AC" w:rsidP="000F16AC">
      <w:r w:rsidRPr="009254B9">
        <w:t xml:space="preserve">The Project Manager, within authorized limits, will be responsible for the administration of the project’s management reserve funds.   </w:t>
      </w:r>
    </w:p>
    <w:p w:rsidR="000F16AC" w:rsidRPr="009254B9" w:rsidRDefault="000F16AC" w:rsidP="000F16AC">
      <w:r w:rsidRPr="009254B9">
        <w:t xml:space="preserve"> </w:t>
      </w:r>
    </w:p>
    <w:p w:rsidR="000F16AC" w:rsidRPr="009254B9" w:rsidRDefault="000F16AC" w:rsidP="000F16AC">
      <w:r w:rsidRPr="009254B9">
        <w:t xml:space="preserve">The </w:t>
      </w:r>
      <w:r w:rsidR="008E398C">
        <w:t>Obligation</w:t>
      </w:r>
      <w:r w:rsidRPr="009254B9">
        <w:t xml:space="preserve"> Profile, depicted in</w:t>
      </w:r>
      <w:r>
        <w:rPr>
          <w:color w:val="FF0000"/>
        </w:rPr>
        <w:t xml:space="preserve"> </w:t>
      </w:r>
      <w:r w:rsidRPr="005919DC">
        <w:t xml:space="preserve">Section </w:t>
      </w:r>
      <w:r w:rsidRPr="005919DC">
        <w:fldChar w:fldCharType="begin"/>
      </w:r>
      <w:r w:rsidRPr="005919DC">
        <w:instrText xml:space="preserve"> REF _Ref104526061 \r \h </w:instrText>
      </w:r>
      <w:r w:rsidRPr="005919DC">
        <w:fldChar w:fldCharType="separate"/>
      </w:r>
      <w:r w:rsidR="00A3026B">
        <w:rPr>
          <w:b/>
          <w:bCs/>
        </w:rPr>
        <w:t xml:space="preserve">Error! Reference source not </w:t>
      </w:r>
      <w:proofErr w:type="gramStart"/>
      <w:r w:rsidR="00A3026B">
        <w:rPr>
          <w:b/>
          <w:bCs/>
        </w:rPr>
        <w:t>found.</w:t>
      </w:r>
      <w:r w:rsidRPr="005919DC">
        <w:fldChar w:fldCharType="end"/>
      </w:r>
      <w:r w:rsidRPr="009254B9">
        <w:t>,</w:t>
      </w:r>
      <w:proofErr w:type="gramEnd"/>
      <w:r w:rsidRPr="009254B9">
        <w:t xml:space="preserve"> is based on the current </w:t>
      </w:r>
      <w:r>
        <w:t>DOE</w:t>
      </w:r>
      <w:r w:rsidRPr="009254B9">
        <w:t xml:space="preserve"> funding profile.  This plan reflects the best estimate of funding levels and the baseline schedule.  The Funding Profile establishes the planned rate of accrued costs for the life of the project.  The Project Manager is responsible for updating, as needed, the project Estimate at Completion (EAC) for each work element to reflect changes in design and construction, and for overall project fiscal management. </w:t>
      </w:r>
    </w:p>
    <w:p w:rsidR="000F16AC" w:rsidRPr="009254B9" w:rsidRDefault="000F16AC" w:rsidP="000F16AC">
      <w:r w:rsidRPr="009254B9">
        <w:t xml:space="preserve"> </w:t>
      </w:r>
    </w:p>
    <w:p w:rsidR="000F16AC" w:rsidRPr="0076657D" w:rsidRDefault="000F16AC" w:rsidP="000F16AC">
      <w:pPr>
        <w:rPr>
          <w:b/>
          <w:u w:val="single"/>
        </w:rPr>
      </w:pPr>
      <w:r w:rsidRPr="0076657D">
        <w:rPr>
          <w:b/>
          <w:u w:val="single"/>
        </w:rPr>
        <w:t xml:space="preserve">Schedule Control </w:t>
      </w:r>
    </w:p>
    <w:p w:rsidR="000F16AC" w:rsidRPr="009254B9" w:rsidRDefault="000F16AC" w:rsidP="000F16AC">
      <w:r w:rsidRPr="009254B9">
        <w:t xml:space="preserve">The Baseline Milestones, shown in </w:t>
      </w:r>
      <w:r>
        <w:t xml:space="preserve">Section </w:t>
      </w:r>
      <w:r>
        <w:fldChar w:fldCharType="begin"/>
      </w:r>
      <w:r>
        <w:instrText xml:space="preserve"> REF _Ref104526090 \r \h </w:instrText>
      </w:r>
      <w:r>
        <w:fldChar w:fldCharType="separate"/>
      </w:r>
      <w:r w:rsidR="00A3026B">
        <w:rPr>
          <w:b/>
          <w:bCs/>
        </w:rPr>
        <w:t>Error! Reference source not found.</w:t>
      </w:r>
      <w:r>
        <w:fldChar w:fldCharType="end"/>
      </w:r>
      <w:r>
        <w:t xml:space="preserve"> of this report, depicts the </w:t>
      </w:r>
      <w:r w:rsidRPr="009254B9">
        <w:t xml:space="preserve">milestones and their expected achievement dates.    The Project Manager shall have the responsibility to monitor and control these tasks within the baseline.  The baseline may be revised with </w:t>
      </w:r>
      <w:r>
        <w:t>DOE</w:t>
      </w:r>
      <w:r w:rsidRPr="009254B9">
        <w:t xml:space="preserve"> Fermi Site Office </w:t>
      </w:r>
    </w:p>
    <w:p w:rsidR="000F16AC" w:rsidRPr="009254B9" w:rsidRDefault="008E398C" w:rsidP="000F16AC">
      <w:r>
        <w:t>Concurrence through the change control process.</w:t>
      </w:r>
    </w:p>
    <w:p w:rsidR="000F16AC" w:rsidRPr="009254B9" w:rsidRDefault="000F16AC" w:rsidP="000F16AC">
      <w:r w:rsidRPr="009254B9">
        <w:t xml:space="preserve"> </w:t>
      </w:r>
    </w:p>
    <w:p w:rsidR="000F16AC" w:rsidRPr="009254B9" w:rsidRDefault="000F16AC" w:rsidP="000F16AC">
      <w:r w:rsidRPr="009254B9">
        <w:t xml:space="preserve"> </w:t>
      </w:r>
    </w:p>
    <w:p w:rsidR="000F16AC" w:rsidRPr="0076657D" w:rsidRDefault="000F16AC" w:rsidP="000F16AC">
      <w:pPr>
        <w:rPr>
          <w:b/>
          <w:u w:val="single"/>
        </w:rPr>
      </w:pPr>
      <w:r w:rsidRPr="00AC7273">
        <w:rPr>
          <w:b/>
          <w:u w:val="single"/>
        </w:rPr>
        <w:t>Change Control Procedures and</w:t>
      </w:r>
      <w:r w:rsidRPr="0076657D">
        <w:rPr>
          <w:b/>
          <w:u w:val="single"/>
        </w:rPr>
        <w:t xml:space="preserve"> Authorities </w:t>
      </w:r>
    </w:p>
    <w:p w:rsidR="000F16AC" w:rsidRPr="009254B9" w:rsidRDefault="000F16AC" w:rsidP="000F16AC">
      <w:r w:rsidRPr="009254B9">
        <w:t>Changes to the project baseline can occur to the s</w:t>
      </w:r>
      <w:r>
        <w:t xml:space="preserve">cope, cost, or schedule </w:t>
      </w:r>
      <w:r w:rsidRPr="009254B9">
        <w:t xml:space="preserve">aspects of the project.  Changes at WBS Level 1 and below will be made with the approval of the Project Manager for cost changes up to $100,000 and schedule changes up to 3 months.  Cost and schedule changes above these amounts and changes to the scope of the project will require the approvals of the Change Control Board.  Any change to the Total Project Cost will require the approval of the Change Control Board and </w:t>
      </w:r>
      <w:r>
        <w:t>DOE</w:t>
      </w:r>
      <w:r w:rsidRPr="009254B9">
        <w:t xml:space="preserve"> Fermi Site Office.  Project change control will be accomplished in accordance with practices listed below.</w:t>
      </w:r>
    </w:p>
    <w:p w:rsidR="000F16AC" w:rsidRDefault="000F16AC" w:rsidP="000F16AC">
      <w:pPr>
        <w:pStyle w:val="FaxTitle"/>
      </w:pPr>
    </w:p>
    <w:p w:rsidR="000F16AC" w:rsidRDefault="000F16AC" w:rsidP="000F16AC">
      <w:pPr>
        <w:pStyle w:val="FaxTitle"/>
      </w:pPr>
    </w:p>
    <w:p w:rsidR="000F16AC" w:rsidRDefault="000F16AC" w:rsidP="000F16AC">
      <w:pPr>
        <w:pStyle w:val="FaxTitle"/>
      </w:pPr>
    </w:p>
    <w:p w:rsidR="000F16AC" w:rsidRDefault="000F16AC" w:rsidP="000F16AC">
      <w:pPr>
        <w:pStyle w:val="Fax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756"/>
        <w:gridCol w:w="2628"/>
      </w:tblGrid>
      <w:tr w:rsidR="000F16AC">
        <w:tc>
          <w:tcPr>
            <w:tcW w:w="3192" w:type="dxa"/>
          </w:tcPr>
          <w:p w:rsidR="000F16AC" w:rsidRPr="007D0B38" w:rsidRDefault="000F16AC" w:rsidP="000F16AC">
            <w:pPr>
              <w:jc w:val="center"/>
              <w:rPr>
                <w:b/>
              </w:rPr>
            </w:pPr>
            <w:r w:rsidRPr="007D0B38">
              <w:rPr>
                <w:b/>
              </w:rPr>
              <w:t>Change</w:t>
            </w:r>
          </w:p>
        </w:tc>
        <w:tc>
          <w:tcPr>
            <w:tcW w:w="3756" w:type="dxa"/>
          </w:tcPr>
          <w:p w:rsidR="000F16AC" w:rsidRPr="007D0B38" w:rsidRDefault="000F16AC" w:rsidP="000F16AC">
            <w:pPr>
              <w:jc w:val="center"/>
              <w:rPr>
                <w:b/>
              </w:rPr>
            </w:pPr>
            <w:r w:rsidRPr="007D0B38">
              <w:rPr>
                <w:b/>
              </w:rPr>
              <w:t>Approval Required</w:t>
            </w:r>
          </w:p>
        </w:tc>
        <w:tc>
          <w:tcPr>
            <w:tcW w:w="2628" w:type="dxa"/>
          </w:tcPr>
          <w:p w:rsidR="000F16AC" w:rsidRPr="007D0B38" w:rsidRDefault="000F16AC" w:rsidP="000F16AC">
            <w:pPr>
              <w:jc w:val="center"/>
              <w:rPr>
                <w:b/>
              </w:rPr>
            </w:pPr>
            <w:r w:rsidRPr="007D0B38">
              <w:rPr>
                <w:b/>
              </w:rPr>
              <w:t>Change Request Form</w:t>
            </w:r>
          </w:p>
        </w:tc>
      </w:tr>
      <w:tr w:rsidR="000F16AC">
        <w:tc>
          <w:tcPr>
            <w:tcW w:w="3192" w:type="dxa"/>
          </w:tcPr>
          <w:p w:rsidR="000F16AC" w:rsidRDefault="000F16AC" w:rsidP="000F16AC">
            <w:pPr>
              <w:jc w:val="center"/>
            </w:pPr>
            <w:r>
              <w:t>In scope ≤$100k or ≤3 months schedule change</w:t>
            </w:r>
          </w:p>
        </w:tc>
        <w:tc>
          <w:tcPr>
            <w:tcW w:w="3756" w:type="dxa"/>
          </w:tcPr>
          <w:p w:rsidR="000F16AC" w:rsidRDefault="000F16AC" w:rsidP="000F16AC">
            <w:pPr>
              <w:jc w:val="center"/>
            </w:pPr>
            <w:r>
              <w:t>Project Manager</w:t>
            </w:r>
          </w:p>
        </w:tc>
        <w:tc>
          <w:tcPr>
            <w:tcW w:w="2628" w:type="dxa"/>
          </w:tcPr>
          <w:p w:rsidR="000F16AC" w:rsidRDefault="000F16AC" w:rsidP="000F16AC">
            <w:pPr>
              <w:jc w:val="center"/>
            </w:pPr>
            <w:r>
              <w:t>Required</w:t>
            </w:r>
          </w:p>
        </w:tc>
      </w:tr>
      <w:tr w:rsidR="000F16AC">
        <w:tc>
          <w:tcPr>
            <w:tcW w:w="3192" w:type="dxa"/>
          </w:tcPr>
          <w:p w:rsidR="000F16AC" w:rsidRDefault="000F16AC" w:rsidP="000F16AC">
            <w:pPr>
              <w:jc w:val="center"/>
            </w:pPr>
            <w:r>
              <w:t>In scope &gt;$100k or &gt;3 months schedule change</w:t>
            </w:r>
          </w:p>
        </w:tc>
        <w:tc>
          <w:tcPr>
            <w:tcW w:w="3756" w:type="dxa"/>
          </w:tcPr>
          <w:p w:rsidR="000F16AC" w:rsidRDefault="000F16AC" w:rsidP="000F16AC">
            <w:pPr>
              <w:jc w:val="center"/>
            </w:pPr>
            <w:r>
              <w:t>Control Board</w:t>
            </w:r>
          </w:p>
        </w:tc>
        <w:tc>
          <w:tcPr>
            <w:tcW w:w="2628" w:type="dxa"/>
          </w:tcPr>
          <w:p w:rsidR="000F16AC" w:rsidRDefault="000F16AC" w:rsidP="000F16AC">
            <w:pPr>
              <w:jc w:val="center"/>
            </w:pPr>
            <w:r>
              <w:t>Required</w:t>
            </w:r>
          </w:p>
        </w:tc>
      </w:tr>
      <w:tr w:rsidR="000F16AC">
        <w:tc>
          <w:tcPr>
            <w:tcW w:w="3192" w:type="dxa"/>
          </w:tcPr>
          <w:p w:rsidR="000F16AC" w:rsidRDefault="000F16AC" w:rsidP="000F16AC">
            <w:pPr>
              <w:jc w:val="center"/>
            </w:pPr>
          </w:p>
          <w:p w:rsidR="000F16AC" w:rsidRDefault="000F16AC" w:rsidP="000F16AC">
            <w:pPr>
              <w:jc w:val="center"/>
            </w:pPr>
            <w:r>
              <w:t>Total Project Cost</w:t>
            </w:r>
          </w:p>
        </w:tc>
        <w:tc>
          <w:tcPr>
            <w:tcW w:w="3756" w:type="dxa"/>
          </w:tcPr>
          <w:p w:rsidR="000F16AC" w:rsidRDefault="000F16AC" w:rsidP="000F16AC">
            <w:pPr>
              <w:jc w:val="center"/>
            </w:pPr>
            <w:r>
              <w:t>Control Board</w:t>
            </w:r>
          </w:p>
          <w:p w:rsidR="000F16AC" w:rsidRDefault="000F16AC" w:rsidP="000F16AC">
            <w:pPr>
              <w:jc w:val="center"/>
            </w:pPr>
            <w:r>
              <w:t>DOE</w:t>
            </w:r>
            <w:r w:rsidR="008E398C">
              <w:t xml:space="preserve"> Fermi Site Office</w:t>
            </w:r>
          </w:p>
          <w:p w:rsidR="000F16AC" w:rsidRDefault="000F16AC" w:rsidP="000F16AC">
            <w:pPr>
              <w:jc w:val="center"/>
            </w:pPr>
            <w:r>
              <w:t>Fermilab Directorate</w:t>
            </w:r>
          </w:p>
        </w:tc>
        <w:tc>
          <w:tcPr>
            <w:tcW w:w="2628" w:type="dxa"/>
          </w:tcPr>
          <w:p w:rsidR="000F16AC" w:rsidRDefault="000F16AC" w:rsidP="000F16AC">
            <w:pPr>
              <w:jc w:val="center"/>
            </w:pPr>
          </w:p>
          <w:p w:rsidR="000F16AC" w:rsidRDefault="000F16AC" w:rsidP="000F16AC">
            <w:pPr>
              <w:jc w:val="center"/>
            </w:pPr>
            <w:r>
              <w:t>Required</w:t>
            </w:r>
          </w:p>
        </w:tc>
      </w:tr>
      <w:tr w:rsidR="000F16AC">
        <w:tc>
          <w:tcPr>
            <w:tcW w:w="3192" w:type="dxa"/>
          </w:tcPr>
          <w:p w:rsidR="000F16AC" w:rsidRDefault="000F16AC" w:rsidP="000F16AC">
            <w:pPr>
              <w:jc w:val="center"/>
            </w:pPr>
            <w:r>
              <w:t>Non-Emergency required for ES&amp;H regulations</w:t>
            </w:r>
          </w:p>
        </w:tc>
        <w:tc>
          <w:tcPr>
            <w:tcW w:w="3756" w:type="dxa"/>
          </w:tcPr>
          <w:p w:rsidR="000F16AC" w:rsidRDefault="000F16AC" w:rsidP="000F16AC">
            <w:pPr>
              <w:jc w:val="center"/>
            </w:pPr>
            <w:r>
              <w:t>Control Board</w:t>
            </w:r>
          </w:p>
        </w:tc>
        <w:tc>
          <w:tcPr>
            <w:tcW w:w="2628" w:type="dxa"/>
          </w:tcPr>
          <w:p w:rsidR="000F16AC" w:rsidRDefault="000F16AC" w:rsidP="000F16AC">
            <w:pPr>
              <w:jc w:val="center"/>
            </w:pPr>
            <w:r>
              <w:t>Required</w:t>
            </w:r>
          </w:p>
        </w:tc>
      </w:tr>
      <w:tr w:rsidR="000F16AC">
        <w:tc>
          <w:tcPr>
            <w:tcW w:w="3192" w:type="dxa"/>
          </w:tcPr>
          <w:p w:rsidR="000F16AC" w:rsidRDefault="000F16AC" w:rsidP="00B2740A">
            <w:pPr>
              <w:jc w:val="center"/>
            </w:pPr>
            <w:r>
              <w:t xml:space="preserve">Change to Project Scope </w:t>
            </w:r>
          </w:p>
        </w:tc>
        <w:tc>
          <w:tcPr>
            <w:tcW w:w="3756" w:type="dxa"/>
          </w:tcPr>
          <w:p w:rsidR="000F16AC" w:rsidRDefault="000F16AC" w:rsidP="000F16AC">
            <w:pPr>
              <w:jc w:val="center"/>
            </w:pPr>
            <w:r>
              <w:t>Control Board</w:t>
            </w:r>
          </w:p>
          <w:p w:rsidR="000F16AC" w:rsidRDefault="000F16AC" w:rsidP="000F16AC">
            <w:pPr>
              <w:jc w:val="center"/>
            </w:pPr>
            <w:r>
              <w:t>DOE</w:t>
            </w:r>
          </w:p>
          <w:p w:rsidR="000F16AC" w:rsidRDefault="000F16AC" w:rsidP="000F16AC">
            <w:pPr>
              <w:jc w:val="center"/>
            </w:pPr>
            <w:r>
              <w:t>Fermilab Directorate</w:t>
            </w:r>
          </w:p>
        </w:tc>
        <w:tc>
          <w:tcPr>
            <w:tcW w:w="2628" w:type="dxa"/>
          </w:tcPr>
          <w:p w:rsidR="000F16AC" w:rsidRDefault="000F16AC" w:rsidP="000F16AC">
            <w:pPr>
              <w:jc w:val="center"/>
            </w:pPr>
          </w:p>
          <w:p w:rsidR="000F16AC" w:rsidRDefault="000F16AC" w:rsidP="000F16AC">
            <w:pPr>
              <w:jc w:val="center"/>
            </w:pPr>
            <w:r>
              <w:t>Required</w:t>
            </w:r>
          </w:p>
        </w:tc>
      </w:tr>
    </w:tbl>
    <w:p w:rsidR="000F16AC" w:rsidRDefault="000F16AC" w:rsidP="000F16AC"/>
    <w:p w:rsidR="000F16AC" w:rsidRPr="00E17403" w:rsidRDefault="000F16AC" w:rsidP="000F16AC">
      <w:r w:rsidRPr="00E17403">
        <w:t xml:space="preserve">The Change Control Board (Control Board) will be comprised of the following named individuals or the designees: </w:t>
      </w:r>
    </w:p>
    <w:p w:rsidR="000F16AC" w:rsidRPr="00E17403" w:rsidRDefault="000F16AC" w:rsidP="000F16AC">
      <w:r w:rsidRPr="00E17403">
        <w:t xml:space="preserve"> </w:t>
      </w:r>
    </w:p>
    <w:p w:rsidR="000F16AC" w:rsidRPr="00B2740A" w:rsidRDefault="000F16AC" w:rsidP="000F16AC">
      <w:r>
        <w:t>DOE Fermi Site Office</w:t>
      </w:r>
      <w:r>
        <w:tab/>
      </w:r>
      <w:r w:rsidRPr="00B2740A">
        <w:t xml:space="preserve">P. </w:t>
      </w:r>
      <w:proofErr w:type="spellStart"/>
      <w:r w:rsidRPr="00B2740A">
        <w:t>Philp</w:t>
      </w:r>
      <w:proofErr w:type="spellEnd"/>
      <w:r w:rsidRPr="00B2740A">
        <w:t xml:space="preserve"> (non-voting) </w:t>
      </w:r>
    </w:p>
    <w:p w:rsidR="000F16AC" w:rsidRPr="00E17403" w:rsidRDefault="000F16AC" w:rsidP="000F16AC">
      <w:r>
        <w:t>Fermilab Directorate</w:t>
      </w:r>
      <w:r>
        <w:tab/>
      </w:r>
      <w:r>
        <w:tab/>
      </w:r>
      <w:r w:rsidR="00CE3385">
        <w:t>S. Henderson</w:t>
      </w:r>
      <w:r w:rsidRPr="00E17403">
        <w:t xml:space="preserve"> </w:t>
      </w:r>
    </w:p>
    <w:p w:rsidR="000F16AC" w:rsidRDefault="000F16AC" w:rsidP="000F16AC">
      <w:r>
        <w:t>Fermilab AD</w:t>
      </w:r>
      <w:r>
        <w:tab/>
      </w:r>
      <w:r>
        <w:tab/>
      </w:r>
      <w:r>
        <w:tab/>
      </w:r>
      <w:r w:rsidRPr="00E17403">
        <w:t xml:space="preserve">R. Dixon </w:t>
      </w:r>
    </w:p>
    <w:p w:rsidR="00AC7273" w:rsidRDefault="00AC7273" w:rsidP="000F16AC">
      <w:r>
        <w:t>Program Manager</w:t>
      </w:r>
      <w:r>
        <w:tab/>
      </w:r>
      <w:r>
        <w:tab/>
        <w:t>M. Convery</w:t>
      </w:r>
    </w:p>
    <w:p w:rsidR="00AC7273" w:rsidRPr="00E17403" w:rsidRDefault="00320C85" w:rsidP="000F16AC">
      <w:r>
        <w:t>Project Director</w:t>
      </w:r>
      <w:r>
        <w:tab/>
      </w:r>
      <w:r>
        <w:tab/>
        <w:t>G</w:t>
      </w:r>
      <w:r w:rsidR="00AC7273">
        <w:t>. Annala</w:t>
      </w:r>
    </w:p>
    <w:p w:rsidR="000F16AC" w:rsidRPr="00E17403" w:rsidRDefault="000F16AC" w:rsidP="000F16AC">
      <w:r>
        <w:t>Project Manager, Chair</w:t>
      </w:r>
      <w:r>
        <w:tab/>
      </w:r>
      <w:r w:rsidR="00320C85">
        <w:t>G</w:t>
      </w:r>
      <w:r w:rsidR="00CE3385">
        <w:t>. Annala</w:t>
      </w:r>
      <w:r w:rsidRPr="00E17403">
        <w:t xml:space="preserve"> </w:t>
      </w:r>
    </w:p>
    <w:p w:rsidR="000F16AC" w:rsidRPr="00E17403" w:rsidRDefault="000F16AC" w:rsidP="000F16AC">
      <w:r w:rsidRPr="00E17403">
        <w:t xml:space="preserve"> </w:t>
      </w:r>
    </w:p>
    <w:p w:rsidR="000F16AC" w:rsidRDefault="000F16AC" w:rsidP="000F16AC">
      <w:r w:rsidRPr="00E17403">
        <w:t>The Project Manager will act as Chair to the Control Board.  The Control Board will consider the change requests promptly and, in cases not requiring additional information or discussion, will respond within two weeks.</w:t>
      </w:r>
    </w:p>
    <w:p w:rsidR="000F16AC" w:rsidRDefault="000F16AC" w:rsidP="000F16AC">
      <w:pPr>
        <w:pStyle w:val="Heading1"/>
      </w:pPr>
      <w:r>
        <w:br w:type="page"/>
      </w:r>
      <w:bookmarkStart w:id="9" w:name="_Toc365296829"/>
      <w:r>
        <w:lastRenderedPageBreak/>
        <w:t>Design and Construction Principles</w:t>
      </w:r>
      <w:bookmarkEnd w:id="9"/>
    </w:p>
    <w:p w:rsidR="000F16AC" w:rsidRPr="006A583D" w:rsidRDefault="000F16AC" w:rsidP="000F16AC">
      <w:pPr>
        <w:rPr>
          <w:b/>
          <w:u w:val="single"/>
        </w:rPr>
      </w:pPr>
      <w:r w:rsidRPr="006A583D">
        <w:rPr>
          <w:b/>
          <w:u w:val="single"/>
        </w:rPr>
        <w:t xml:space="preserve">Integrated Safety Management (ISM) </w:t>
      </w:r>
    </w:p>
    <w:p w:rsidR="000F16AC" w:rsidRPr="006A583D" w:rsidRDefault="000F16AC" w:rsidP="000F16AC">
      <w:r w:rsidRPr="006A583D">
        <w:t>Fermilab subscribes to the philosophy of Integrated Safety Management (ISM), in accordance with Department of Energy Order 413.3 “Program and Project Management for the Acquisition of Capital Assets.”  Fermilab requires its subcontractors and sub-tier subcontractors to do the same.  ISM is a system for performing work safely and in an environ</w:t>
      </w:r>
      <w:r>
        <w:t xml:space="preserve">mentally responsible </w:t>
      </w:r>
      <w:r w:rsidRPr="006A583D">
        <w:t xml:space="preserve">manner.  The term “integrated” is used to indicate that the Environment, Safety &amp; Health (ES&amp;H) management systems are normal and natural elements of doing work.  The intent is to integrate the management of ES&amp;H with the management of the other primary elements of construction: quality, cost, and schedule. </w:t>
      </w:r>
    </w:p>
    <w:p w:rsidR="000F16AC" w:rsidRPr="006A583D" w:rsidRDefault="000F16AC" w:rsidP="000F16AC">
      <w:r w:rsidRPr="006A583D">
        <w:t xml:space="preserve"> </w:t>
      </w:r>
    </w:p>
    <w:p w:rsidR="000F16AC" w:rsidRPr="006A583D" w:rsidRDefault="000F16AC" w:rsidP="000F16AC">
      <w:pPr>
        <w:rPr>
          <w:b/>
          <w:u w:val="single"/>
        </w:rPr>
      </w:pPr>
      <w:r w:rsidRPr="006A583D">
        <w:rPr>
          <w:b/>
          <w:u w:val="single"/>
        </w:rPr>
        <w:t xml:space="preserve">Quality Assurance </w:t>
      </w:r>
    </w:p>
    <w:p w:rsidR="000F16AC" w:rsidRPr="006A583D" w:rsidRDefault="000F16AC" w:rsidP="000F16AC">
      <w:r w:rsidRPr="006A583D">
        <w:t xml:space="preserve">All aspects of this project will be periodically reviewed with regard to Quality Assurance issues from Conceptual Design through Title III completion.  This review process will be completed in accordance with the applicable portions of the Director’s Policy Manual, Section 10.  The following elements will be included in the design and construction effort: </w:t>
      </w:r>
    </w:p>
    <w:p w:rsidR="000F16AC" w:rsidRPr="006A583D" w:rsidRDefault="000F16AC" w:rsidP="000F16AC">
      <w:r w:rsidRPr="006A583D">
        <w:t xml:space="preserve"> </w:t>
      </w:r>
    </w:p>
    <w:p w:rsidR="000F16AC" w:rsidRPr="006A583D" w:rsidRDefault="000F16AC" w:rsidP="000F16AC">
      <w:r w:rsidRPr="006A583D">
        <w:t xml:space="preserve">• An identification of staff assigned to this project with clear definition of responsibility levels and limit of authority as well as delineated lines of communication for exchange of information; </w:t>
      </w:r>
    </w:p>
    <w:p w:rsidR="000F16AC" w:rsidRPr="006A583D" w:rsidRDefault="000F16AC" w:rsidP="000F16AC">
      <w:r w:rsidRPr="006A583D">
        <w:t xml:space="preserve">• Requirements for control of design criteria and criteria changes and recording of standards and codes used in the development of the criteria; </w:t>
      </w:r>
    </w:p>
    <w:p w:rsidR="000F16AC" w:rsidRPr="006A583D" w:rsidRDefault="000F16AC" w:rsidP="000F16AC">
      <w:r w:rsidRPr="006A583D">
        <w:t xml:space="preserve">• Periodic review of design process, drawings and specification to insure compliance with accepted design criteria; </w:t>
      </w:r>
    </w:p>
    <w:p w:rsidR="000F16AC" w:rsidRPr="006A583D" w:rsidRDefault="000F16AC" w:rsidP="000F16AC">
      <w:r w:rsidRPr="006A583D">
        <w:t xml:space="preserve"> </w:t>
      </w:r>
    </w:p>
    <w:p w:rsidR="000F16AC" w:rsidRPr="006A583D" w:rsidRDefault="000F16AC" w:rsidP="000F16AC">
      <w:pPr>
        <w:rPr>
          <w:b/>
          <w:u w:val="single"/>
        </w:rPr>
      </w:pPr>
      <w:r w:rsidRPr="006A583D">
        <w:rPr>
          <w:b/>
          <w:u w:val="single"/>
        </w:rPr>
        <w:t xml:space="preserve">Reliability and Maintainability </w:t>
      </w:r>
    </w:p>
    <w:p w:rsidR="000F16AC" w:rsidRPr="006A583D" w:rsidRDefault="000F16AC" w:rsidP="000F16AC">
      <w:r w:rsidRPr="006A583D">
        <w:t xml:space="preserve">Both reliability and future maintenance are considered in the design of all components of Fermilab site.  Materials and construction techniques are selected during the design process to provide adequate design life, accessibility, and minimal maintenance.  </w:t>
      </w:r>
    </w:p>
    <w:p w:rsidR="000F16AC" w:rsidRPr="006A583D" w:rsidRDefault="000F16AC" w:rsidP="000F16AC">
      <w:r w:rsidRPr="006A583D">
        <w:t xml:space="preserve"> </w:t>
      </w:r>
    </w:p>
    <w:p w:rsidR="00742B58" w:rsidRDefault="00742B58" w:rsidP="008E398C">
      <w:pPr>
        <w:rPr>
          <w:b/>
          <w:u w:val="single"/>
        </w:rPr>
      </w:pPr>
    </w:p>
    <w:p w:rsidR="008E398C" w:rsidRPr="00742B58" w:rsidRDefault="008E398C" w:rsidP="008E398C">
      <w:pPr>
        <w:rPr>
          <w:b/>
        </w:rPr>
      </w:pPr>
      <w:r w:rsidRPr="006A583D">
        <w:rPr>
          <w:b/>
          <w:u w:val="single"/>
        </w:rPr>
        <w:t xml:space="preserve">Risk Management </w:t>
      </w:r>
    </w:p>
    <w:p w:rsidR="000F16AC" w:rsidRDefault="008E398C" w:rsidP="00742B58">
      <w:pPr>
        <w:pStyle w:val="NoSpacing"/>
      </w:pPr>
      <w:r w:rsidRPr="00742B58">
        <w:t>All potential risks will be identified and tracked to insure that sufficient budget and schedule contingency are incorporated into the baseline plan.  These risks will be monitored and reported, at a minimum at the monthly PMG, and retired as appropriate.</w:t>
      </w:r>
      <w:r>
        <w:t xml:space="preserve"> </w:t>
      </w:r>
      <w:r w:rsidR="000F16AC">
        <w:br w:type="page"/>
      </w:r>
    </w:p>
    <w:p w:rsidR="00761258" w:rsidRPr="00761258" w:rsidRDefault="00761258" w:rsidP="00761258">
      <w:pPr>
        <w:pStyle w:val="Heading1"/>
      </w:pPr>
      <w:bookmarkStart w:id="10" w:name="_Toc365296830"/>
      <w:r>
        <w:lastRenderedPageBreak/>
        <w:t>Reporting and Review</w:t>
      </w:r>
      <w:bookmarkEnd w:id="10"/>
    </w:p>
    <w:p w:rsidR="000F16AC" w:rsidRPr="00A71FFA" w:rsidRDefault="000F16AC" w:rsidP="000F16AC">
      <w:r w:rsidRPr="00A71FFA">
        <w:t xml:space="preserve">The objective of the reporting and review activity is to provide the assemblage and integration of project related cost data, schedule status and performance progress into reports for the monitoring and management of the project. </w:t>
      </w:r>
    </w:p>
    <w:p w:rsidR="000F16AC" w:rsidRPr="00A71FFA" w:rsidRDefault="000F16AC" w:rsidP="000F16AC">
      <w:r w:rsidRPr="00A71FFA">
        <w:t xml:space="preserve"> </w:t>
      </w:r>
    </w:p>
    <w:p w:rsidR="000F16AC" w:rsidRPr="00A71FFA" w:rsidRDefault="000F16AC" w:rsidP="000F16AC">
      <w:pPr>
        <w:rPr>
          <w:b/>
          <w:u w:val="single"/>
        </w:rPr>
      </w:pPr>
      <w:r w:rsidRPr="00A71FFA">
        <w:rPr>
          <w:b/>
          <w:u w:val="single"/>
        </w:rPr>
        <w:t xml:space="preserve">Reporting </w:t>
      </w:r>
    </w:p>
    <w:p w:rsidR="000F16AC" w:rsidRPr="00A71FFA" w:rsidRDefault="000F16AC" w:rsidP="000F16AC">
      <w:r w:rsidRPr="00A71FFA">
        <w:rPr>
          <w:i/>
        </w:rPr>
        <w:t xml:space="preserve">Daily </w:t>
      </w:r>
      <w:r w:rsidRPr="00A71FFA">
        <w:t xml:space="preserve">– The Project Manager will hold meetings as necessary to discuss progress and issues.   </w:t>
      </w:r>
    </w:p>
    <w:p w:rsidR="000F16AC" w:rsidRPr="00A71FFA" w:rsidRDefault="000F16AC" w:rsidP="000F16AC">
      <w:r w:rsidRPr="00A71FFA">
        <w:t xml:space="preserve"> </w:t>
      </w:r>
    </w:p>
    <w:p w:rsidR="000F16AC" w:rsidRPr="00A71FFA" w:rsidRDefault="000F16AC" w:rsidP="000F16AC">
      <w:r w:rsidRPr="00A71FFA">
        <w:rPr>
          <w:i/>
        </w:rPr>
        <w:t>Quarterly</w:t>
      </w:r>
      <w:r w:rsidRPr="00A71FFA">
        <w:t xml:space="preserve"> - The Project Manager will review progress, changes, in order to prepare a Quarterly AIP report.    </w:t>
      </w:r>
    </w:p>
    <w:p w:rsidR="000F16AC" w:rsidRPr="00A71FFA" w:rsidRDefault="000F16AC" w:rsidP="000F16AC">
      <w:r w:rsidRPr="00A71FFA">
        <w:t xml:space="preserve"> </w:t>
      </w:r>
    </w:p>
    <w:p w:rsidR="000F16AC" w:rsidRPr="00A71FFA" w:rsidRDefault="000F16AC" w:rsidP="000F16AC">
      <w:pPr>
        <w:rPr>
          <w:b/>
          <w:u w:val="single"/>
        </w:rPr>
      </w:pPr>
      <w:r w:rsidRPr="00A71FFA">
        <w:rPr>
          <w:b/>
          <w:u w:val="single"/>
        </w:rPr>
        <w:t xml:space="preserve">Reviews </w:t>
      </w:r>
    </w:p>
    <w:p w:rsidR="000F16AC" w:rsidRPr="00A71FFA" w:rsidRDefault="000F16AC" w:rsidP="000F16AC">
      <w:r w:rsidRPr="00A71FFA">
        <w:t>Directorate Level Review – If appropriate and requested, the project team will meet with the Directorate to review the project related cost data, schedule status and performance progress</w:t>
      </w:r>
      <w:proofErr w:type="gramStart"/>
      <w:r w:rsidRPr="00A71FFA">
        <w:t>..</w:t>
      </w:r>
      <w:proofErr w:type="gramEnd"/>
      <w:r w:rsidRPr="00A71FFA">
        <w:t xml:space="preserve"> </w:t>
      </w:r>
    </w:p>
    <w:p w:rsidR="000F16AC" w:rsidRPr="00A71FFA" w:rsidRDefault="000F16AC" w:rsidP="000F16AC">
      <w:r w:rsidRPr="00A71FFA">
        <w:t xml:space="preserve"> </w:t>
      </w:r>
    </w:p>
    <w:p w:rsidR="000F16AC" w:rsidRDefault="000F16AC" w:rsidP="000F16AC">
      <w:r>
        <w:t>DOE</w:t>
      </w:r>
      <w:r w:rsidRPr="00A71FFA">
        <w:t xml:space="preserve"> Review – Occasional Site visits will be arranged between the Project Manager and </w:t>
      </w:r>
      <w:r>
        <w:t>DOE</w:t>
      </w:r>
      <w:r w:rsidRPr="00A71FFA">
        <w:t xml:space="preserve"> Project Director</w:t>
      </w:r>
    </w:p>
    <w:p w:rsidR="00AC7273" w:rsidRDefault="00AC7273" w:rsidP="000F16AC"/>
    <w:p w:rsidR="00AC7273" w:rsidRDefault="00AC7273" w:rsidP="000F16AC">
      <w:r>
        <w:t>PMG – Status will be reported monthly to Fermilab Division Heads and the DOE at Project Management Group meetings.</w:t>
      </w:r>
    </w:p>
    <w:p w:rsidR="00AC7273" w:rsidRDefault="00AC7273" w:rsidP="000F16AC"/>
    <w:p w:rsidR="00AC7273" w:rsidRPr="00A71FFA" w:rsidRDefault="00AC7273" w:rsidP="000F16AC">
      <w:r>
        <w:t>POG – Status will be reported monthly to the Fermilab Directorate Project Oversight Group meetings.</w:t>
      </w:r>
    </w:p>
    <w:sectPr w:rsidR="00AC7273" w:rsidRPr="00A71FFA">
      <w:headerReference w:type="even" r:id="rId18"/>
      <w:headerReference w:type="default" r:id="rId19"/>
      <w:footerReference w:type="default" r:id="rId2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15" w:rsidRDefault="002E0415">
      <w:r>
        <w:separator/>
      </w:r>
    </w:p>
  </w:endnote>
  <w:endnote w:type="continuationSeparator" w:id="0">
    <w:p w:rsidR="002E0415" w:rsidRDefault="002E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15" w:rsidRDefault="002E0415">
    <w:pPr>
      <w:pStyle w:val="Footer"/>
    </w:pPr>
    <w:r>
      <w:rPr>
        <w:noProof/>
      </w:rPr>
      <w:drawing>
        <wp:inline distT="0" distB="0" distL="0" distR="0">
          <wp:extent cx="5943600" cy="251460"/>
          <wp:effectExtent l="0" t="0" r="0" b="0"/>
          <wp:docPr id="3" name="Picture 3" descr="fermi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mi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514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15" w:rsidRDefault="002E0415">
      <w:r>
        <w:separator/>
      </w:r>
    </w:p>
  </w:footnote>
  <w:footnote w:type="continuationSeparator" w:id="0">
    <w:p w:rsidR="002E0415" w:rsidRDefault="002E0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15" w:rsidRDefault="002E0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415" w:rsidRDefault="002E04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15" w:rsidRDefault="002E04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7ED">
      <w:rPr>
        <w:rStyle w:val="PageNumber"/>
        <w:noProof/>
      </w:rPr>
      <w:t>2</w:t>
    </w:r>
    <w:r>
      <w:rPr>
        <w:rStyle w:val="PageNumber"/>
      </w:rPr>
      <w:fldChar w:fldCharType="end"/>
    </w:r>
  </w:p>
  <w:p w:rsidR="002E0415" w:rsidRDefault="002E0415">
    <w:pPr>
      <w:pStyle w:val="Header"/>
      <w:ind w:right="360"/>
    </w:pPr>
    <w:r>
      <w:rPr>
        <w:noProof/>
      </w:rPr>
      <mc:AlternateContent>
        <mc:Choice Requires="wps">
          <w:drawing>
            <wp:anchor distT="0" distB="0" distL="114300" distR="114300" simplePos="0" relativeHeight="251657216" behindDoc="0" locked="0" layoutInCell="1" allowOverlap="0">
              <wp:simplePos x="0" y="0"/>
              <wp:positionH relativeFrom="page">
                <wp:posOffset>5372100</wp:posOffset>
              </wp:positionH>
              <wp:positionV relativeFrom="page">
                <wp:posOffset>914400</wp:posOffset>
              </wp:positionV>
              <wp:extent cx="1828800" cy="34290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415" w:rsidRDefault="002E0415" w:rsidP="000F16AC">
                          <w:pPr>
                            <w:pStyle w:val="HeaderBlock"/>
                            <w:spacing w:after="80"/>
                          </w:pPr>
                          <w:r>
                            <w:t>Delivery Ring Upgrade</w:t>
                          </w:r>
                        </w:p>
                        <w:p w:rsidR="002E0415" w:rsidRDefault="002E0415" w:rsidP="000F16AC">
                          <w:pPr>
                            <w:pStyle w:val="HeaderBlock"/>
                            <w:spacing w:after="80"/>
                          </w:pPr>
                          <w:proofErr w:type="gramStart"/>
                          <w:r>
                            <w:t>Project  Plan</w:t>
                          </w:r>
                          <w:proofErr w:type="gramEnd"/>
                        </w:p>
                        <w:p w:rsidR="002E0415" w:rsidRDefault="002E0415" w:rsidP="000F16AC">
                          <w:pPr>
                            <w:pStyle w:val="HeaderBlock"/>
                            <w:spacing w:after="80"/>
                          </w:pPr>
                        </w:p>
                        <w:p w:rsidR="002E0415" w:rsidRDefault="002E0415" w:rsidP="000F16AC">
                          <w:pPr>
                            <w:pStyle w:val="HeaderBlock"/>
                            <w:spacing w:after="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23pt;margin-top:1in;width:2in;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2E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" o:allowoverlap="f" filled="f" stroked="f">
              <v:textbox inset="0,0,0,0">
                <w:txbxContent>
                  <w:p w:rsidR="002E0415" w:rsidRDefault="002E0415" w:rsidP="000F16AC">
                    <w:pPr>
                      <w:pStyle w:val="HeaderBlock"/>
                      <w:spacing w:after="80"/>
                    </w:pPr>
                    <w:r>
                      <w:t>Delivery Ring Upgrade</w:t>
                    </w:r>
                  </w:p>
                  <w:p w:rsidR="002E0415" w:rsidRDefault="002E0415" w:rsidP="000F16AC">
                    <w:pPr>
                      <w:pStyle w:val="HeaderBlock"/>
                      <w:spacing w:after="80"/>
                    </w:pPr>
                    <w:proofErr w:type="gramStart"/>
                    <w:r>
                      <w:t>Project  Plan</w:t>
                    </w:r>
                    <w:proofErr w:type="gramEnd"/>
                  </w:p>
                  <w:p w:rsidR="002E0415" w:rsidRDefault="002E0415" w:rsidP="000F16AC">
                    <w:pPr>
                      <w:pStyle w:val="HeaderBlock"/>
                      <w:spacing w:after="80"/>
                    </w:pPr>
                  </w:p>
                  <w:p w:rsidR="002E0415" w:rsidRDefault="002E0415" w:rsidP="000F16AC">
                    <w:pPr>
                      <w:pStyle w:val="HeaderBlock"/>
                      <w:spacing w:after="60"/>
                    </w:pPr>
                  </w:p>
                </w:txbxContent>
              </v:textbox>
              <w10:wrap type="topAndBottom" anchorx="page" anchory="page"/>
            </v:shape>
          </w:pict>
        </mc:Fallback>
      </mc:AlternateContent>
    </w:r>
    <w:r>
      <w:rPr>
        <w:noProof/>
      </w:rPr>
      <w:drawing>
        <wp:anchor distT="0" distB="0" distL="114300" distR="114300" simplePos="0" relativeHeight="251658240" behindDoc="0" locked="0" layoutInCell="1" allowOverlap="0">
          <wp:simplePos x="0" y="0"/>
          <wp:positionH relativeFrom="page">
            <wp:posOffset>709930</wp:posOffset>
          </wp:positionH>
          <wp:positionV relativeFrom="page">
            <wp:posOffset>838200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AA722"/>
    <w:lvl w:ilvl="0">
      <w:start w:val="1"/>
      <w:numFmt w:val="decimal"/>
      <w:lvlText w:val="%1."/>
      <w:lvlJc w:val="left"/>
      <w:pPr>
        <w:tabs>
          <w:tab w:val="num" w:pos="1800"/>
        </w:tabs>
        <w:ind w:left="1800" w:hanging="360"/>
      </w:pPr>
    </w:lvl>
  </w:abstractNum>
  <w:abstractNum w:abstractNumId="1">
    <w:nsid w:val="FFFFFF7D"/>
    <w:multiLevelType w:val="singleLevel"/>
    <w:tmpl w:val="24B493B0"/>
    <w:lvl w:ilvl="0">
      <w:start w:val="1"/>
      <w:numFmt w:val="decimal"/>
      <w:lvlText w:val="%1."/>
      <w:lvlJc w:val="left"/>
      <w:pPr>
        <w:tabs>
          <w:tab w:val="num" w:pos="1440"/>
        </w:tabs>
        <w:ind w:left="1440" w:hanging="360"/>
      </w:pPr>
    </w:lvl>
  </w:abstractNum>
  <w:abstractNum w:abstractNumId="2">
    <w:nsid w:val="FFFFFF7E"/>
    <w:multiLevelType w:val="singleLevel"/>
    <w:tmpl w:val="0EECBA72"/>
    <w:lvl w:ilvl="0">
      <w:start w:val="1"/>
      <w:numFmt w:val="decimal"/>
      <w:lvlText w:val="%1."/>
      <w:lvlJc w:val="left"/>
      <w:pPr>
        <w:tabs>
          <w:tab w:val="num" w:pos="1080"/>
        </w:tabs>
        <w:ind w:left="1080" w:hanging="360"/>
      </w:pPr>
    </w:lvl>
  </w:abstractNum>
  <w:abstractNum w:abstractNumId="3">
    <w:nsid w:val="FFFFFF7F"/>
    <w:multiLevelType w:val="singleLevel"/>
    <w:tmpl w:val="89BC81E0"/>
    <w:lvl w:ilvl="0">
      <w:start w:val="1"/>
      <w:numFmt w:val="decimal"/>
      <w:lvlText w:val="%1."/>
      <w:lvlJc w:val="left"/>
      <w:pPr>
        <w:tabs>
          <w:tab w:val="num" w:pos="720"/>
        </w:tabs>
        <w:ind w:left="720" w:hanging="360"/>
      </w:pPr>
    </w:lvl>
  </w:abstractNum>
  <w:abstractNum w:abstractNumId="4">
    <w:nsid w:val="FFFFFF80"/>
    <w:multiLevelType w:val="singleLevel"/>
    <w:tmpl w:val="0DB2E4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8003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443D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9A85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40F0A4"/>
    <w:lvl w:ilvl="0">
      <w:start w:val="1"/>
      <w:numFmt w:val="decimal"/>
      <w:lvlText w:val="%1."/>
      <w:lvlJc w:val="left"/>
      <w:pPr>
        <w:tabs>
          <w:tab w:val="num" w:pos="360"/>
        </w:tabs>
        <w:ind w:left="360" w:hanging="360"/>
      </w:pPr>
    </w:lvl>
  </w:abstractNum>
  <w:abstractNum w:abstractNumId="9">
    <w:nsid w:val="FFFFFF89"/>
    <w:multiLevelType w:val="singleLevel"/>
    <w:tmpl w:val="3CB427F0"/>
    <w:lvl w:ilvl="0">
      <w:start w:val="1"/>
      <w:numFmt w:val="bullet"/>
      <w:lvlText w:val=""/>
      <w:lvlJc w:val="left"/>
      <w:pPr>
        <w:tabs>
          <w:tab w:val="num" w:pos="360"/>
        </w:tabs>
        <w:ind w:left="360" w:hanging="360"/>
      </w:pPr>
      <w:rPr>
        <w:rFonts w:ascii="Symbol" w:hAnsi="Symbol" w:hint="default"/>
      </w:rPr>
    </w:lvl>
  </w:abstractNum>
  <w:abstractNum w:abstractNumId="10">
    <w:nsid w:val="14692CFE"/>
    <w:multiLevelType w:val="hybridMultilevel"/>
    <w:tmpl w:val="94A05658"/>
    <w:lvl w:ilvl="0" w:tplc="739458EE">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C0461"/>
    <w:multiLevelType w:val="hybridMultilevel"/>
    <w:tmpl w:val="52085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44876"/>
    <w:multiLevelType w:val="multilevel"/>
    <w:tmpl w:val="94A056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D17D17"/>
    <w:multiLevelType w:val="hybridMultilevel"/>
    <w:tmpl w:val="38BCF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0"/>
    <w:lvlOverride w:ilvl="0">
      <w:startOverride w:val="1"/>
    </w:lvlOverride>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85"/>
    <w:rsid w:val="0000327D"/>
    <w:rsid w:val="000072AD"/>
    <w:rsid w:val="00053B15"/>
    <w:rsid w:val="00057309"/>
    <w:rsid w:val="000E5ED6"/>
    <w:rsid w:val="000F16AC"/>
    <w:rsid w:val="00112102"/>
    <w:rsid w:val="00141E88"/>
    <w:rsid w:val="001420CD"/>
    <w:rsid w:val="00237F4F"/>
    <w:rsid w:val="002669A4"/>
    <w:rsid w:val="00282185"/>
    <w:rsid w:val="002D63AB"/>
    <w:rsid w:val="002D6D5D"/>
    <w:rsid w:val="002E0415"/>
    <w:rsid w:val="002F1947"/>
    <w:rsid w:val="0030299C"/>
    <w:rsid w:val="00320C85"/>
    <w:rsid w:val="0037071D"/>
    <w:rsid w:val="003A4EDE"/>
    <w:rsid w:val="003B3CDF"/>
    <w:rsid w:val="00421815"/>
    <w:rsid w:val="00422A27"/>
    <w:rsid w:val="00444F2F"/>
    <w:rsid w:val="00480BAD"/>
    <w:rsid w:val="00481F25"/>
    <w:rsid w:val="005437ED"/>
    <w:rsid w:val="005520C5"/>
    <w:rsid w:val="0055693D"/>
    <w:rsid w:val="005857F4"/>
    <w:rsid w:val="005B2C5A"/>
    <w:rsid w:val="005D1D0B"/>
    <w:rsid w:val="00627C02"/>
    <w:rsid w:val="00682659"/>
    <w:rsid w:val="006C335A"/>
    <w:rsid w:val="00742B58"/>
    <w:rsid w:val="00761258"/>
    <w:rsid w:val="007C0A6F"/>
    <w:rsid w:val="007D5A69"/>
    <w:rsid w:val="007F1DBC"/>
    <w:rsid w:val="0080005B"/>
    <w:rsid w:val="00822D2B"/>
    <w:rsid w:val="0083268E"/>
    <w:rsid w:val="008922DF"/>
    <w:rsid w:val="008A0596"/>
    <w:rsid w:val="008A0EAF"/>
    <w:rsid w:val="008E398C"/>
    <w:rsid w:val="008F534D"/>
    <w:rsid w:val="00986F99"/>
    <w:rsid w:val="009A7BA2"/>
    <w:rsid w:val="00A14473"/>
    <w:rsid w:val="00A3026B"/>
    <w:rsid w:val="00AC7273"/>
    <w:rsid w:val="00B267CF"/>
    <w:rsid w:val="00B2740A"/>
    <w:rsid w:val="00B96AED"/>
    <w:rsid w:val="00B97958"/>
    <w:rsid w:val="00BA471A"/>
    <w:rsid w:val="00C02DC6"/>
    <w:rsid w:val="00CB29CD"/>
    <w:rsid w:val="00CC2C01"/>
    <w:rsid w:val="00CE3385"/>
    <w:rsid w:val="00D150AE"/>
    <w:rsid w:val="00D352D5"/>
    <w:rsid w:val="00D61D6F"/>
    <w:rsid w:val="00D75778"/>
    <w:rsid w:val="00DB060F"/>
    <w:rsid w:val="00E16C2E"/>
    <w:rsid w:val="00E24703"/>
    <w:rsid w:val="00E348B0"/>
    <w:rsid w:val="00E35028"/>
    <w:rsid w:val="00E6452E"/>
    <w:rsid w:val="00E83830"/>
    <w:rsid w:val="00EA464D"/>
    <w:rsid w:val="00F445C8"/>
    <w:rsid w:val="00F9637A"/>
    <w:rsid w:val="00FA0A32"/>
    <w:rsid w:val="00FC0E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919DC"/>
    <w:pPr>
      <w:keepNext/>
      <w:numPr>
        <w:numId w:val="11"/>
      </w:numPr>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64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axTitle">
    <w:name w:val="Fax Title"/>
    <w:pPr>
      <w:spacing w:after="240"/>
    </w:pPr>
    <w:rPr>
      <w:rFonts w:ascii="Helvetica" w:hAnsi="Helvetica"/>
      <w:b/>
      <w:sz w:val="28"/>
    </w:rPr>
  </w:style>
  <w:style w:type="paragraph" w:customStyle="1" w:styleId="LineTitles">
    <w:name w:val="Line Titles"/>
    <w:pPr>
      <w:tabs>
        <w:tab w:val="left" w:pos="1008"/>
        <w:tab w:val="left" w:pos="4680"/>
        <w:tab w:val="left" w:pos="5688"/>
      </w:tabs>
      <w:spacing w:after="240"/>
    </w:pPr>
    <w:rPr>
      <w:rFonts w:ascii="Helvetica" w:hAnsi="Helvetica"/>
      <w:b/>
    </w:rPr>
  </w:style>
  <w:style w:type="paragraph" w:customStyle="1" w:styleId="Bodynoindent">
    <w:name w:val="Body no indent"/>
    <w:basedOn w:val="Body"/>
    <w:pPr>
      <w:spacing w:after="180"/>
      <w:ind w:firstLine="0"/>
    </w:pPr>
  </w:style>
  <w:style w:type="table" w:styleId="TableGrid">
    <w:name w:val="Table Grid"/>
    <w:basedOn w:val="TableNormal"/>
    <w:rsid w:val="00E174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5919DC"/>
    <w:rPr>
      <w:rFonts w:ascii="Calibri" w:eastAsia="Times New Roman" w:hAnsi="Calibri" w:cs="Times New Roman"/>
      <w:b/>
      <w:bCs/>
      <w:kern w:val="32"/>
      <w:sz w:val="32"/>
      <w:szCs w:val="32"/>
    </w:rPr>
  </w:style>
  <w:style w:type="paragraph" w:customStyle="1" w:styleId="TOCHeading1">
    <w:name w:val="TOC Heading1"/>
    <w:basedOn w:val="Heading1"/>
    <w:next w:val="Normal"/>
    <w:uiPriority w:val="39"/>
    <w:unhideWhenUsed/>
    <w:qFormat/>
    <w:rsid w:val="005919DC"/>
    <w:pPr>
      <w:keepLines/>
      <w:numPr>
        <w:numId w:val="0"/>
      </w:numPr>
      <w:spacing w:before="480" w:after="0" w:line="276" w:lineRule="auto"/>
      <w:outlineLvl w:val="9"/>
    </w:pPr>
    <w:rPr>
      <w:color w:val="365F91"/>
      <w:kern w:val="0"/>
      <w:sz w:val="28"/>
      <w:szCs w:val="28"/>
    </w:rPr>
  </w:style>
  <w:style w:type="paragraph" w:styleId="TOC1">
    <w:name w:val="toc 1"/>
    <w:basedOn w:val="Normal"/>
    <w:next w:val="Normal"/>
    <w:autoRedefine/>
    <w:uiPriority w:val="39"/>
    <w:rsid w:val="008C72D8"/>
    <w:pPr>
      <w:spacing w:before="120"/>
    </w:pPr>
    <w:rPr>
      <w:rFonts w:ascii="Cambria" w:hAnsi="Cambria"/>
      <w:b/>
      <w:sz w:val="22"/>
      <w:szCs w:val="22"/>
    </w:rPr>
  </w:style>
  <w:style w:type="paragraph" w:styleId="TOC2">
    <w:name w:val="toc 2"/>
    <w:basedOn w:val="Normal"/>
    <w:next w:val="Normal"/>
    <w:autoRedefine/>
    <w:rsid w:val="008C72D8"/>
    <w:pPr>
      <w:ind w:left="240"/>
    </w:pPr>
    <w:rPr>
      <w:rFonts w:ascii="Cambria" w:hAnsi="Cambria"/>
      <w:i/>
      <w:sz w:val="22"/>
      <w:szCs w:val="22"/>
    </w:rPr>
  </w:style>
  <w:style w:type="paragraph" w:styleId="TOC3">
    <w:name w:val="toc 3"/>
    <w:basedOn w:val="Normal"/>
    <w:next w:val="Normal"/>
    <w:autoRedefine/>
    <w:rsid w:val="008C72D8"/>
    <w:pPr>
      <w:ind w:left="480"/>
    </w:pPr>
    <w:rPr>
      <w:rFonts w:ascii="Cambria" w:hAnsi="Cambria"/>
      <w:sz w:val="22"/>
      <w:szCs w:val="22"/>
    </w:rPr>
  </w:style>
  <w:style w:type="paragraph" w:styleId="TOC4">
    <w:name w:val="toc 4"/>
    <w:basedOn w:val="Normal"/>
    <w:next w:val="Normal"/>
    <w:autoRedefine/>
    <w:rsid w:val="008C72D8"/>
    <w:pPr>
      <w:ind w:left="720"/>
    </w:pPr>
    <w:rPr>
      <w:rFonts w:ascii="Cambria" w:hAnsi="Cambria"/>
      <w:sz w:val="20"/>
    </w:rPr>
  </w:style>
  <w:style w:type="paragraph" w:styleId="TOC5">
    <w:name w:val="toc 5"/>
    <w:basedOn w:val="Normal"/>
    <w:next w:val="Normal"/>
    <w:autoRedefine/>
    <w:rsid w:val="008C72D8"/>
    <w:pPr>
      <w:ind w:left="960"/>
    </w:pPr>
    <w:rPr>
      <w:rFonts w:ascii="Cambria" w:hAnsi="Cambria"/>
      <w:sz w:val="20"/>
    </w:rPr>
  </w:style>
  <w:style w:type="paragraph" w:styleId="TOC6">
    <w:name w:val="toc 6"/>
    <w:basedOn w:val="Normal"/>
    <w:next w:val="Normal"/>
    <w:autoRedefine/>
    <w:rsid w:val="008C72D8"/>
    <w:pPr>
      <w:ind w:left="1200"/>
    </w:pPr>
    <w:rPr>
      <w:rFonts w:ascii="Cambria" w:hAnsi="Cambria"/>
      <w:sz w:val="20"/>
    </w:rPr>
  </w:style>
  <w:style w:type="paragraph" w:styleId="TOC7">
    <w:name w:val="toc 7"/>
    <w:basedOn w:val="Normal"/>
    <w:next w:val="Normal"/>
    <w:autoRedefine/>
    <w:rsid w:val="008C72D8"/>
    <w:pPr>
      <w:ind w:left="1440"/>
    </w:pPr>
    <w:rPr>
      <w:rFonts w:ascii="Cambria" w:hAnsi="Cambria"/>
      <w:sz w:val="20"/>
    </w:rPr>
  </w:style>
  <w:style w:type="paragraph" w:styleId="TOC8">
    <w:name w:val="toc 8"/>
    <w:basedOn w:val="Normal"/>
    <w:next w:val="Normal"/>
    <w:autoRedefine/>
    <w:rsid w:val="008C72D8"/>
    <w:pPr>
      <w:ind w:left="1680"/>
    </w:pPr>
    <w:rPr>
      <w:rFonts w:ascii="Cambria" w:hAnsi="Cambria"/>
      <w:sz w:val="20"/>
    </w:rPr>
  </w:style>
  <w:style w:type="paragraph" w:styleId="TOC9">
    <w:name w:val="toc 9"/>
    <w:basedOn w:val="Normal"/>
    <w:next w:val="Normal"/>
    <w:autoRedefine/>
    <w:rsid w:val="008C72D8"/>
    <w:pPr>
      <w:ind w:left="1920"/>
    </w:pPr>
    <w:rPr>
      <w:rFonts w:ascii="Cambria" w:hAnsi="Cambria"/>
      <w:sz w:val="20"/>
    </w:rPr>
  </w:style>
  <w:style w:type="paragraph" w:styleId="BalloonText">
    <w:name w:val="Balloon Text"/>
    <w:basedOn w:val="Normal"/>
    <w:link w:val="BalloonTextChar"/>
    <w:rsid w:val="005B2C5A"/>
    <w:rPr>
      <w:rFonts w:ascii="Tahoma" w:hAnsi="Tahoma" w:cs="Tahoma"/>
      <w:sz w:val="16"/>
      <w:szCs w:val="16"/>
    </w:rPr>
  </w:style>
  <w:style w:type="character" w:customStyle="1" w:styleId="BalloonTextChar">
    <w:name w:val="Balloon Text Char"/>
    <w:link w:val="BalloonText"/>
    <w:rsid w:val="005B2C5A"/>
    <w:rPr>
      <w:rFonts w:ascii="Tahoma" w:hAnsi="Tahoma" w:cs="Tahoma"/>
      <w:sz w:val="16"/>
      <w:szCs w:val="16"/>
    </w:rPr>
  </w:style>
  <w:style w:type="paragraph" w:styleId="NoSpacing">
    <w:name w:val="No Spacing"/>
    <w:qFormat/>
    <w:rsid w:val="00742B58"/>
    <w:rPr>
      <w:sz w:val="24"/>
    </w:rPr>
  </w:style>
  <w:style w:type="paragraph" w:styleId="ListParagraph">
    <w:name w:val="List Paragraph"/>
    <w:basedOn w:val="Normal"/>
    <w:qFormat/>
    <w:rsid w:val="00D61D6F"/>
    <w:pPr>
      <w:ind w:left="720"/>
      <w:contextualSpacing/>
    </w:pPr>
  </w:style>
  <w:style w:type="character" w:styleId="Hyperlink">
    <w:name w:val="Hyperlink"/>
    <w:basedOn w:val="DefaultParagraphFont"/>
    <w:uiPriority w:val="99"/>
    <w:unhideWhenUsed/>
    <w:rsid w:val="00761258"/>
    <w:rPr>
      <w:color w:val="0000FF" w:themeColor="hyperlink"/>
      <w:u w:val="single"/>
    </w:rPr>
  </w:style>
  <w:style w:type="character" w:styleId="BookTitle">
    <w:name w:val="Book Title"/>
    <w:basedOn w:val="DefaultParagraphFont"/>
    <w:qFormat/>
    <w:rsid w:val="0076125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919DC"/>
    <w:pPr>
      <w:keepNext/>
      <w:numPr>
        <w:numId w:val="11"/>
      </w:numPr>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64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axTitle">
    <w:name w:val="Fax Title"/>
    <w:pPr>
      <w:spacing w:after="240"/>
    </w:pPr>
    <w:rPr>
      <w:rFonts w:ascii="Helvetica" w:hAnsi="Helvetica"/>
      <w:b/>
      <w:sz w:val="28"/>
    </w:rPr>
  </w:style>
  <w:style w:type="paragraph" w:customStyle="1" w:styleId="LineTitles">
    <w:name w:val="Line Titles"/>
    <w:pPr>
      <w:tabs>
        <w:tab w:val="left" w:pos="1008"/>
        <w:tab w:val="left" w:pos="4680"/>
        <w:tab w:val="left" w:pos="5688"/>
      </w:tabs>
      <w:spacing w:after="240"/>
    </w:pPr>
    <w:rPr>
      <w:rFonts w:ascii="Helvetica" w:hAnsi="Helvetica"/>
      <w:b/>
    </w:rPr>
  </w:style>
  <w:style w:type="paragraph" w:customStyle="1" w:styleId="Bodynoindent">
    <w:name w:val="Body no indent"/>
    <w:basedOn w:val="Body"/>
    <w:pPr>
      <w:spacing w:after="180"/>
      <w:ind w:firstLine="0"/>
    </w:pPr>
  </w:style>
  <w:style w:type="table" w:styleId="TableGrid">
    <w:name w:val="Table Grid"/>
    <w:basedOn w:val="TableNormal"/>
    <w:rsid w:val="00E174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5919DC"/>
    <w:rPr>
      <w:rFonts w:ascii="Calibri" w:eastAsia="Times New Roman" w:hAnsi="Calibri" w:cs="Times New Roman"/>
      <w:b/>
      <w:bCs/>
      <w:kern w:val="32"/>
      <w:sz w:val="32"/>
      <w:szCs w:val="32"/>
    </w:rPr>
  </w:style>
  <w:style w:type="paragraph" w:customStyle="1" w:styleId="TOCHeading1">
    <w:name w:val="TOC Heading1"/>
    <w:basedOn w:val="Heading1"/>
    <w:next w:val="Normal"/>
    <w:uiPriority w:val="39"/>
    <w:unhideWhenUsed/>
    <w:qFormat/>
    <w:rsid w:val="005919DC"/>
    <w:pPr>
      <w:keepLines/>
      <w:numPr>
        <w:numId w:val="0"/>
      </w:numPr>
      <w:spacing w:before="480" w:after="0" w:line="276" w:lineRule="auto"/>
      <w:outlineLvl w:val="9"/>
    </w:pPr>
    <w:rPr>
      <w:color w:val="365F91"/>
      <w:kern w:val="0"/>
      <w:sz w:val="28"/>
      <w:szCs w:val="28"/>
    </w:rPr>
  </w:style>
  <w:style w:type="paragraph" w:styleId="TOC1">
    <w:name w:val="toc 1"/>
    <w:basedOn w:val="Normal"/>
    <w:next w:val="Normal"/>
    <w:autoRedefine/>
    <w:uiPriority w:val="39"/>
    <w:rsid w:val="008C72D8"/>
    <w:pPr>
      <w:spacing w:before="120"/>
    </w:pPr>
    <w:rPr>
      <w:rFonts w:ascii="Cambria" w:hAnsi="Cambria"/>
      <w:b/>
      <w:sz w:val="22"/>
      <w:szCs w:val="22"/>
    </w:rPr>
  </w:style>
  <w:style w:type="paragraph" w:styleId="TOC2">
    <w:name w:val="toc 2"/>
    <w:basedOn w:val="Normal"/>
    <w:next w:val="Normal"/>
    <w:autoRedefine/>
    <w:rsid w:val="008C72D8"/>
    <w:pPr>
      <w:ind w:left="240"/>
    </w:pPr>
    <w:rPr>
      <w:rFonts w:ascii="Cambria" w:hAnsi="Cambria"/>
      <w:i/>
      <w:sz w:val="22"/>
      <w:szCs w:val="22"/>
    </w:rPr>
  </w:style>
  <w:style w:type="paragraph" w:styleId="TOC3">
    <w:name w:val="toc 3"/>
    <w:basedOn w:val="Normal"/>
    <w:next w:val="Normal"/>
    <w:autoRedefine/>
    <w:rsid w:val="008C72D8"/>
    <w:pPr>
      <w:ind w:left="480"/>
    </w:pPr>
    <w:rPr>
      <w:rFonts w:ascii="Cambria" w:hAnsi="Cambria"/>
      <w:sz w:val="22"/>
      <w:szCs w:val="22"/>
    </w:rPr>
  </w:style>
  <w:style w:type="paragraph" w:styleId="TOC4">
    <w:name w:val="toc 4"/>
    <w:basedOn w:val="Normal"/>
    <w:next w:val="Normal"/>
    <w:autoRedefine/>
    <w:rsid w:val="008C72D8"/>
    <w:pPr>
      <w:ind w:left="720"/>
    </w:pPr>
    <w:rPr>
      <w:rFonts w:ascii="Cambria" w:hAnsi="Cambria"/>
      <w:sz w:val="20"/>
    </w:rPr>
  </w:style>
  <w:style w:type="paragraph" w:styleId="TOC5">
    <w:name w:val="toc 5"/>
    <w:basedOn w:val="Normal"/>
    <w:next w:val="Normal"/>
    <w:autoRedefine/>
    <w:rsid w:val="008C72D8"/>
    <w:pPr>
      <w:ind w:left="960"/>
    </w:pPr>
    <w:rPr>
      <w:rFonts w:ascii="Cambria" w:hAnsi="Cambria"/>
      <w:sz w:val="20"/>
    </w:rPr>
  </w:style>
  <w:style w:type="paragraph" w:styleId="TOC6">
    <w:name w:val="toc 6"/>
    <w:basedOn w:val="Normal"/>
    <w:next w:val="Normal"/>
    <w:autoRedefine/>
    <w:rsid w:val="008C72D8"/>
    <w:pPr>
      <w:ind w:left="1200"/>
    </w:pPr>
    <w:rPr>
      <w:rFonts w:ascii="Cambria" w:hAnsi="Cambria"/>
      <w:sz w:val="20"/>
    </w:rPr>
  </w:style>
  <w:style w:type="paragraph" w:styleId="TOC7">
    <w:name w:val="toc 7"/>
    <w:basedOn w:val="Normal"/>
    <w:next w:val="Normal"/>
    <w:autoRedefine/>
    <w:rsid w:val="008C72D8"/>
    <w:pPr>
      <w:ind w:left="1440"/>
    </w:pPr>
    <w:rPr>
      <w:rFonts w:ascii="Cambria" w:hAnsi="Cambria"/>
      <w:sz w:val="20"/>
    </w:rPr>
  </w:style>
  <w:style w:type="paragraph" w:styleId="TOC8">
    <w:name w:val="toc 8"/>
    <w:basedOn w:val="Normal"/>
    <w:next w:val="Normal"/>
    <w:autoRedefine/>
    <w:rsid w:val="008C72D8"/>
    <w:pPr>
      <w:ind w:left="1680"/>
    </w:pPr>
    <w:rPr>
      <w:rFonts w:ascii="Cambria" w:hAnsi="Cambria"/>
      <w:sz w:val="20"/>
    </w:rPr>
  </w:style>
  <w:style w:type="paragraph" w:styleId="TOC9">
    <w:name w:val="toc 9"/>
    <w:basedOn w:val="Normal"/>
    <w:next w:val="Normal"/>
    <w:autoRedefine/>
    <w:rsid w:val="008C72D8"/>
    <w:pPr>
      <w:ind w:left="1920"/>
    </w:pPr>
    <w:rPr>
      <w:rFonts w:ascii="Cambria" w:hAnsi="Cambria"/>
      <w:sz w:val="20"/>
    </w:rPr>
  </w:style>
  <w:style w:type="paragraph" w:styleId="BalloonText">
    <w:name w:val="Balloon Text"/>
    <w:basedOn w:val="Normal"/>
    <w:link w:val="BalloonTextChar"/>
    <w:rsid w:val="005B2C5A"/>
    <w:rPr>
      <w:rFonts w:ascii="Tahoma" w:hAnsi="Tahoma" w:cs="Tahoma"/>
      <w:sz w:val="16"/>
      <w:szCs w:val="16"/>
    </w:rPr>
  </w:style>
  <w:style w:type="character" w:customStyle="1" w:styleId="BalloonTextChar">
    <w:name w:val="Balloon Text Char"/>
    <w:link w:val="BalloonText"/>
    <w:rsid w:val="005B2C5A"/>
    <w:rPr>
      <w:rFonts w:ascii="Tahoma" w:hAnsi="Tahoma" w:cs="Tahoma"/>
      <w:sz w:val="16"/>
      <w:szCs w:val="16"/>
    </w:rPr>
  </w:style>
  <w:style w:type="paragraph" w:styleId="NoSpacing">
    <w:name w:val="No Spacing"/>
    <w:qFormat/>
    <w:rsid w:val="00742B58"/>
    <w:rPr>
      <w:sz w:val="24"/>
    </w:rPr>
  </w:style>
  <w:style w:type="paragraph" w:styleId="ListParagraph">
    <w:name w:val="List Paragraph"/>
    <w:basedOn w:val="Normal"/>
    <w:qFormat/>
    <w:rsid w:val="00D61D6F"/>
    <w:pPr>
      <w:ind w:left="720"/>
      <w:contextualSpacing/>
    </w:pPr>
  </w:style>
  <w:style w:type="character" w:styleId="Hyperlink">
    <w:name w:val="Hyperlink"/>
    <w:basedOn w:val="DefaultParagraphFont"/>
    <w:uiPriority w:val="99"/>
    <w:unhideWhenUsed/>
    <w:rsid w:val="00761258"/>
    <w:rPr>
      <w:color w:val="0000FF" w:themeColor="hyperlink"/>
      <w:u w:val="single"/>
    </w:rPr>
  </w:style>
  <w:style w:type="character" w:styleId="BookTitle">
    <w:name w:val="Book Title"/>
    <w:basedOn w:val="DefaultParagraphFont"/>
    <w:qFormat/>
    <w:rsid w:val="0076125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3492">
      <w:bodyDiv w:val="1"/>
      <w:marLeft w:val="0"/>
      <w:marRight w:val="0"/>
      <w:marTop w:val="0"/>
      <w:marBottom w:val="0"/>
      <w:divBdr>
        <w:top w:val="none" w:sz="0" w:space="0" w:color="auto"/>
        <w:left w:val="none" w:sz="0" w:space="0" w:color="auto"/>
        <w:bottom w:val="none" w:sz="0" w:space="0" w:color="auto"/>
        <w:right w:val="none" w:sz="0" w:space="0" w:color="auto"/>
      </w:divBdr>
    </w:div>
    <w:div w:id="888154780">
      <w:bodyDiv w:val="1"/>
      <w:marLeft w:val="0"/>
      <w:marRight w:val="0"/>
      <w:marTop w:val="0"/>
      <w:marBottom w:val="0"/>
      <w:divBdr>
        <w:top w:val="none" w:sz="0" w:space="0" w:color="auto"/>
        <w:left w:val="none" w:sz="0" w:space="0" w:color="auto"/>
        <w:bottom w:val="none" w:sz="0" w:space="0" w:color="auto"/>
        <w:right w:val="none" w:sz="0" w:space="0" w:color="auto"/>
      </w:divBdr>
    </w:div>
    <w:div w:id="1557087548">
      <w:bodyDiv w:val="1"/>
      <w:marLeft w:val="0"/>
      <w:marRight w:val="0"/>
      <w:marTop w:val="0"/>
      <w:marBottom w:val="0"/>
      <w:divBdr>
        <w:top w:val="none" w:sz="0" w:space="0" w:color="auto"/>
        <w:left w:val="none" w:sz="0" w:space="0" w:color="auto"/>
        <w:bottom w:val="none" w:sz="0" w:space="0" w:color="auto"/>
        <w:right w:val="none" w:sz="0" w:space="0" w:color="auto"/>
      </w:divBdr>
    </w:div>
    <w:div w:id="1720083211">
      <w:bodyDiv w:val="1"/>
      <w:marLeft w:val="0"/>
      <w:marRight w:val="0"/>
      <w:marTop w:val="0"/>
      <w:marBottom w:val="0"/>
      <w:divBdr>
        <w:top w:val="none" w:sz="0" w:space="0" w:color="auto"/>
        <w:left w:val="none" w:sz="0" w:space="0" w:color="auto"/>
        <w:bottom w:val="none" w:sz="0" w:space="0" w:color="auto"/>
        <w:right w:val="none" w:sz="0" w:space="0" w:color="auto"/>
      </w:divBdr>
    </w:div>
    <w:div w:id="1733429500">
      <w:bodyDiv w:val="1"/>
      <w:marLeft w:val="0"/>
      <w:marRight w:val="0"/>
      <w:marTop w:val="0"/>
      <w:marBottom w:val="0"/>
      <w:divBdr>
        <w:top w:val="none" w:sz="0" w:space="0" w:color="auto"/>
        <w:left w:val="none" w:sz="0" w:space="0" w:color="auto"/>
        <w:bottom w:val="none" w:sz="0" w:space="0" w:color="auto"/>
        <w:right w:val="none" w:sz="0" w:space="0" w:color="auto"/>
      </w:divBdr>
    </w:div>
    <w:div w:id="1863516925">
      <w:bodyDiv w:val="1"/>
      <w:marLeft w:val="0"/>
      <w:marRight w:val="0"/>
      <w:marTop w:val="0"/>
      <w:marBottom w:val="0"/>
      <w:divBdr>
        <w:top w:val="none" w:sz="0" w:space="0" w:color="auto"/>
        <w:left w:val="none" w:sz="0" w:space="0" w:color="auto"/>
        <w:bottom w:val="none" w:sz="0" w:space="0" w:color="auto"/>
        <w:right w:val="none" w:sz="0" w:space="0" w:color="auto"/>
      </w:divBdr>
    </w:div>
  </w:divs>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0.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D726B1-C4EF-41C9-BFCA-952FB75FC54B}" type="doc">
      <dgm:prSet loTypeId="urn:microsoft.com/office/officeart/2005/8/layout/orgChart1" loCatId="hierarchy" qsTypeId="urn:microsoft.com/office/officeart/2005/8/quickstyle/simple1" qsCatId="simple" csTypeId="urn:microsoft.com/office/officeart/2005/8/colors/accent1_2" csCatId="accent1" phldr="1"/>
      <dgm:spPr/>
    </dgm:pt>
    <dgm:pt modelId="{044F73E4-83FA-42CC-BE98-90C13B908B5D}">
      <dgm:prSet custT="1"/>
      <dgm:spPr>
        <a:solidFill>
          <a:schemeClr val="bg1">
            <a:lumMod val="75000"/>
          </a:schemeClr>
        </a:solidFill>
        <a:ln>
          <a:solidFill>
            <a:schemeClr val="accent1">
              <a:lumMod val="75000"/>
            </a:schemeClr>
          </a:solidFill>
        </a:ln>
      </dgm:spPr>
      <dgm:t>
        <a:bodyPr/>
        <a:lstStyle/>
        <a:p>
          <a:pPr marR="0" algn="ctr" rtl="0"/>
          <a:r>
            <a:rPr lang="en-US" sz="1400" b="1" i="0" u="none" strike="noStrike" baseline="0" smtClean="0">
              <a:solidFill>
                <a:schemeClr val="tx1"/>
              </a:solidFill>
              <a:latin typeface="Calibri" panose="020F0502020204030204" pitchFamily="34" charset="0"/>
            </a:rPr>
            <a:t>Fermilab  Directorate</a:t>
          </a:r>
        </a:p>
        <a:p>
          <a:pPr marR="0" algn="ctr" rtl="0"/>
          <a:r>
            <a:rPr lang="en-US" sz="1100" b="0" i="0" u="none" strike="noStrike" baseline="0" smtClean="0">
              <a:solidFill>
                <a:schemeClr val="tx1"/>
              </a:solidFill>
              <a:latin typeface="Calibri" panose="020F0502020204030204" pitchFamily="34" charset="0"/>
            </a:rPr>
            <a:t>Nigel Lockyer, Director</a:t>
          </a:r>
        </a:p>
        <a:p>
          <a:pPr marR="0" algn="ctr" rtl="0"/>
          <a:r>
            <a:rPr lang="en-US" sz="1100" b="0" i="0" u="none" strike="noStrike" baseline="0" smtClean="0">
              <a:solidFill>
                <a:schemeClr val="tx1"/>
              </a:solidFill>
              <a:latin typeface="Calibri" panose="020F0502020204030204" pitchFamily="34" charset="0"/>
            </a:rPr>
            <a:t>Stuart Henderson, Associate Director for Accelerators</a:t>
          </a:r>
          <a:endParaRPr lang="en-US" sz="1100" smtClean="0">
            <a:solidFill>
              <a:schemeClr val="tx1"/>
            </a:solidFill>
            <a:latin typeface="Calibri" panose="020F0502020204030204" pitchFamily="34" charset="0"/>
          </a:endParaRPr>
        </a:p>
      </dgm:t>
    </dgm:pt>
    <dgm:pt modelId="{3283045C-5250-472A-91BC-1C469C01EC0D}" type="parTrans" cxnId="{5D3FC4DC-2DEA-407B-92BB-0A842A76CBB9}">
      <dgm:prSet/>
      <dgm:spPr/>
      <dgm:t>
        <a:bodyPr/>
        <a:lstStyle/>
        <a:p>
          <a:endParaRPr lang="en-US"/>
        </a:p>
      </dgm:t>
    </dgm:pt>
    <dgm:pt modelId="{C3839FCF-2435-4B2A-9BA6-564ABF546A9B}" type="sibTrans" cxnId="{5D3FC4DC-2DEA-407B-92BB-0A842A76CBB9}">
      <dgm:prSet/>
      <dgm:spPr/>
      <dgm:t>
        <a:bodyPr/>
        <a:lstStyle/>
        <a:p>
          <a:endParaRPr lang="en-US"/>
        </a:p>
      </dgm:t>
    </dgm:pt>
    <dgm:pt modelId="{E4E39D5A-1692-454A-B350-135B69824FDF}">
      <dgm:prSet custT="1"/>
      <dgm:spPr>
        <a:solidFill>
          <a:schemeClr val="bg1">
            <a:lumMod val="75000"/>
          </a:schemeClr>
        </a:solidFill>
        <a:ln>
          <a:solidFill>
            <a:schemeClr val="accent1">
              <a:lumMod val="75000"/>
            </a:schemeClr>
          </a:solidFill>
        </a:ln>
      </dgm:spPr>
      <dgm:t>
        <a:bodyPr/>
        <a:lstStyle/>
        <a:p>
          <a:pPr marR="0" algn="ctr" rtl="0"/>
          <a:r>
            <a:rPr lang="en-US" sz="1400" b="1" i="0" u="none" strike="noStrike" baseline="0" smtClean="0">
              <a:solidFill>
                <a:schemeClr val="tx1"/>
              </a:solidFill>
              <a:latin typeface="Calibri" panose="020F0502020204030204" pitchFamily="34" charset="0"/>
            </a:rPr>
            <a:t>Accelerator Division</a:t>
          </a:r>
        </a:p>
        <a:p>
          <a:pPr marR="0" algn="ctr" rtl="0"/>
          <a:r>
            <a:rPr lang="en-US" sz="1100" b="0" i="0" u="none" strike="noStrike" baseline="0" smtClean="0">
              <a:solidFill>
                <a:schemeClr val="tx1"/>
              </a:solidFill>
              <a:latin typeface="Calibri" panose="020F0502020204030204" pitchFamily="34" charset="0"/>
            </a:rPr>
            <a:t>Roger Dixon, Head</a:t>
          </a:r>
        </a:p>
        <a:p>
          <a:pPr marR="0" algn="ctr" rtl="0"/>
          <a:r>
            <a:rPr lang="en-US" sz="1100" b="0" i="0" u="none" strike="noStrike" baseline="0" smtClean="0">
              <a:solidFill>
                <a:schemeClr val="tx1"/>
              </a:solidFill>
              <a:latin typeface="Calibri" panose="020F0502020204030204" pitchFamily="34" charset="0"/>
            </a:rPr>
            <a:t>Mary Convery, Muon Campus Program Coordinator</a:t>
          </a:r>
        </a:p>
      </dgm:t>
    </dgm:pt>
    <dgm:pt modelId="{884ACE97-2380-43E5-A5D1-303D073C6EDF}" type="parTrans" cxnId="{B3CDF5FD-DF06-4F77-AEF3-CD38C70AC2C4}">
      <dgm:prSet/>
      <dgm:spPr/>
      <dgm:t>
        <a:bodyPr/>
        <a:lstStyle/>
        <a:p>
          <a:endParaRPr lang="en-US"/>
        </a:p>
      </dgm:t>
    </dgm:pt>
    <dgm:pt modelId="{E01B5094-3934-45D1-9FF7-CEA8CBBD70E7}" type="sibTrans" cxnId="{B3CDF5FD-DF06-4F77-AEF3-CD38C70AC2C4}">
      <dgm:prSet/>
      <dgm:spPr/>
      <dgm:t>
        <a:bodyPr/>
        <a:lstStyle/>
        <a:p>
          <a:endParaRPr lang="en-US"/>
        </a:p>
      </dgm:t>
    </dgm:pt>
    <dgm:pt modelId="{D6C313C6-30C2-495A-9775-B31DED09033C}">
      <dgm:prSet custT="1"/>
      <dgm:spPr>
        <a:solidFill>
          <a:schemeClr val="bg1">
            <a:lumMod val="75000"/>
          </a:schemeClr>
        </a:solidFill>
        <a:ln>
          <a:solidFill>
            <a:schemeClr val="accent1">
              <a:lumMod val="75000"/>
            </a:schemeClr>
          </a:solidFill>
        </a:ln>
      </dgm:spPr>
      <dgm:t>
        <a:bodyPr/>
        <a:lstStyle/>
        <a:p>
          <a:pPr marR="0" algn="ctr" rtl="0"/>
          <a:r>
            <a:rPr lang="en-US" sz="1400" b="1" i="0" u="none" strike="noStrike" baseline="0" smtClean="0">
              <a:solidFill>
                <a:schemeClr val="tx1"/>
              </a:solidFill>
              <a:latin typeface="Calibri" panose="020F0502020204030204" pitchFamily="34" charset="0"/>
            </a:rPr>
            <a:t>Delivery Ring AIP</a:t>
          </a:r>
        </a:p>
        <a:p>
          <a:pPr marR="0" algn="ctr" rtl="0"/>
          <a:r>
            <a:rPr lang="en-US" sz="1100" b="0" i="0" u="none" strike="noStrike" baseline="0" smtClean="0">
              <a:solidFill>
                <a:schemeClr val="tx1"/>
              </a:solidFill>
              <a:latin typeface="Calibri" panose="020F0502020204030204" pitchFamily="34" charset="0"/>
            </a:rPr>
            <a:t>Gerald Annala, Project Manager</a:t>
          </a:r>
        </a:p>
        <a:p>
          <a:pPr marR="0" algn="ctr" rtl="0"/>
          <a:r>
            <a:rPr lang="en-US" sz="1100" b="0" i="0" u="none" strike="noStrike" baseline="0" smtClean="0">
              <a:solidFill>
                <a:schemeClr val="tx1"/>
              </a:solidFill>
              <a:latin typeface="Calibri" panose="020F0502020204030204" pitchFamily="34" charset="0"/>
            </a:rPr>
            <a:t>Jim Morgan, Deputy Project Manager</a:t>
          </a:r>
        </a:p>
      </dgm:t>
    </dgm:pt>
    <dgm:pt modelId="{4123C92C-9658-461B-9C3C-70644E56B9EF}" type="parTrans" cxnId="{2F6BED72-4D37-4277-8DDF-2070D1F51D74}">
      <dgm:prSet/>
      <dgm:spPr/>
      <dgm:t>
        <a:bodyPr/>
        <a:lstStyle/>
        <a:p>
          <a:endParaRPr lang="en-US"/>
        </a:p>
      </dgm:t>
    </dgm:pt>
    <dgm:pt modelId="{464233A8-204E-45A2-AEF7-C1D37F660B31}" type="sibTrans" cxnId="{2F6BED72-4D37-4277-8DDF-2070D1F51D74}">
      <dgm:prSet/>
      <dgm:spPr/>
      <dgm:t>
        <a:bodyPr/>
        <a:lstStyle/>
        <a:p>
          <a:endParaRPr lang="en-US"/>
        </a:p>
      </dgm:t>
    </dgm:pt>
    <dgm:pt modelId="{D1AF3DAF-FF6F-45C7-9B38-C080C1E1E935}" type="pres">
      <dgm:prSet presAssocID="{30D726B1-C4EF-41C9-BFCA-952FB75FC54B}" presName="hierChild1" presStyleCnt="0">
        <dgm:presLayoutVars>
          <dgm:orgChart val="1"/>
          <dgm:chPref val="1"/>
          <dgm:dir/>
          <dgm:animOne val="branch"/>
          <dgm:animLvl val="lvl"/>
          <dgm:resizeHandles/>
        </dgm:presLayoutVars>
      </dgm:prSet>
      <dgm:spPr/>
    </dgm:pt>
    <dgm:pt modelId="{A9EC3AE4-CB05-4085-B6DA-2267A28E0B43}" type="pres">
      <dgm:prSet presAssocID="{044F73E4-83FA-42CC-BE98-90C13B908B5D}" presName="hierRoot1" presStyleCnt="0">
        <dgm:presLayoutVars>
          <dgm:hierBranch/>
        </dgm:presLayoutVars>
      </dgm:prSet>
      <dgm:spPr/>
    </dgm:pt>
    <dgm:pt modelId="{671D6B3B-8E30-4AE1-B531-AFA126A08AA2}" type="pres">
      <dgm:prSet presAssocID="{044F73E4-83FA-42CC-BE98-90C13B908B5D}" presName="rootComposite1" presStyleCnt="0"/>
      <dgm:spPr/>
    </dgm:pt>
    <dgm:pt modelId="{9DB68C36-7A74-4704-8171-1DECF6988838}" type="pres">
      <dgm:prSet presAssocID="{044F73E4-83FA-42CC-BE98-90C13B908B5D}" presName="rootText1" presStyleLbl="node0" presStyleIdx="0" presStyleCnt="1" custScaleX="271571" custScaleY="205735">
        <dgm:presLayoutVars>
          <dgm:chPref val="3"/>
        </dgm:presLayoutVars>
      </dgm:prSet>
      <dgm:spPr/>
      <dgm:t>
        <a:bodyPr/>
        <a:lstStyle/>
        <a:p>
          <a:endParaRPr lang="en-US"/>
        </a:p>
      </dgm:t>
    </dgm:pt>
    <dgm:pt modelId="{491B8085-A9E9-4449-8566-1D7A41BE83AE}" type="pres">
      <dgm:prSet presAssocID="{044F73E4-83FA-42CC-BE98-90C13B908B5D}" presName="rootConnector1" presStyleLbl="node1" presStyleIdx="0" presStyleCnt="0"/>
      <dgm:spPr/>
      <dgm:t>
        <a:bodyPr/>
        <a:lstStyle/>
        <a:p>
          <a:endParaRPr lang="en-US"/>
        </a:p>
      </dgm:t>
    </dgm:pt>
    <dgm:pt modelId="{F1CCE68C-6404-417C-B5F6-DA9EF447990A}" type="pres">
      <dgm:prSet presAssocID="{044F73E4-83FA-42CC-BE98-90C13B908B5D}" presName="hierChild2" presStyleCnt="0"/>
      <dgm:spPr/>
    </dgm:pt>
    <dgm:pt modelId="{4C8F08A5-F301-4F73-AE1A-BD767FD8CCE0}" type="pres">
      <dgm:prSet presAssocID="{884ACE97-2380-43E5-A5D1-303D073C6EDF}" presName="Name35" presStyleLbl="parChTrans1D2" presStyleIdx="0" presStyleCnt="1"/>
      <dgm:spPr/>
      <dgm:t>
        <a:bodyPr/>
        <a:lstStyle/>
        <a:p>
          <a:endParaRPr lang="en-US"/>
        </a:p>
      </dgm:t>
    </dgm:pt>
    <dgm:pt modelId="{AA22EE97-CD8C-4D24-B213-32D50FC02843}" type="pres">
      <dgm:prSet presAssocID="{E4E39D5A-1692-454A-B350-135B69824FDF}" presName="hierRoot2" presStyleCnt="0">
        <dgm:presLayoutVars>
          <dgm:hierBranch/>
        </dgm:presLayoutVars>
      </dgm:prSet>
      <dgm:spPr/>
    </dgm:pt>
    <dgm:pt modelId="{6FC3E417-1388-41B5-BF45-F8629772CB0F}" type="pres">
      <dgm:prSet presAssocID="{E4E39D5A-1692-454A-B350-135B69824FDF}" presName="rootComposite" presStyleCnt="0"/>
      <dgm:spPr/>
    </dgm:pt>
    <dgm:pt modelId="{D1CA3011-7E72-440D-9A59-A103A7B3B423}" type="pres">
      <dgm:prSet presAssocID="{E4E39D5A-1692-454A-B350-135B69824FDF}" presName="rootText" presStyleLbl="node2" presStyleIdx="0" presStyleCnt="1" custScaleX="265181" custScaleY="179835">
        <dgm:presLayoutVars>
          <dgm:chPref val="3"/>
        </dgm:presLayoutVars>
      </dgm:prSet>
      <dgm:spPr/>
      <dgm:t>
        <a:bodyPr/>
        <a:lstStyle/>
        <a:p>
          <a:endParaRPr lang="en-US"/>
        </a:p>
      </dgm:t>
    </dgm:pt>
    <dgm:pt modelId="{15EA6705-5D73-445E-B410-578D143E578E}" type="pres">
      <dgm:prSet presAssocID="{E4E39D5A-1692-454A-B350-135B69824FDF}" presName="rootConnector" presStyleLbl="node2" presStyleIdx="0" presStyleCnt="1"/>
      <dgm:spPr/>
      <dgm:t>
        <a:bodyPr/>
        <a:lstStyle/>
        <a:p>
          <a:endParaRPr lang="en-US"/>
        </a:p>
      </dgm:t>
    </dgm:pt>
    <dgm:pt modelId="{B9AA1BFE-DEE3-4937-9463-0CAAED2240CF}" type="pres">
      <dgm:prSet presAssocID="{E4E39D5A-1692-454A-B350-135B69824FDF}" presName="hierChild4" presStyleCnt="0"/>
      <dgm:spPr/>
    </dgm:pt>
    <dgm:pt modelId="{4350DDB3-45BD-407E-99E6-C252FA4E230D}" type="pres">
      <dgm:prSet presAssocID="{4123C92C-9658-461B-9C3C-70644E56B9EF}" presName="Name35" presStyleLbl="parChTrans1D3" presStyleIdx="0" presStyleCnt="1"/>
      <dgm:spPr/>
      <dgm:t>
        <a:bodyPr/>
        <a:lstStyle/>
        <a:p>
          <a:endParaRPr lang="en-US"/>
        </a:p>
      </dgm:t>
    </dgm:pt>
    <dgm:pt modelId="{ED3EE870-C5EC-4BB8-881A-3A55712CC22C}" type="pres">
      <dgm:prSet presAssocID="{D6C313C6-30C2-495A-9775-B31DED09033C}" presName="hierRoot2" presStyleCnt="0">
        <dgm:presLayoutVars>
          <dgm:hierBranch val="r"/>
        </dgm:presLayoutVars>
      </dgm:prSet>
      <dgm:spPr/>
    </dgm:pt>
    <dgm:pt modelId="{05DF7A25-FDB3-4833-BC1B-BCAEF973814F}" type="pres">
      <dgm:prSet presAssocID="{D6C313C6-30C2-495A-9775-B31DED09033C}" presName="rootComposite" presStyleCnt="0"/>
      <dgm:spPr/>
    </dgm:pt>
    <dgm:pt modelId="{F2DA0F51-66AD-4E91-8F7E-AAE92445AADE}" type="pres">
      <dgm:prSet presAssocID="{D6C313C6-30C2-495A-9775-B31DED09033C}" presName="rootText" presStyleLbl="node3" presStyleIdx="0" presStyleCnt="1" custScaleX="263839" custScaleY="141931">
        <dgm:presLayoutVars>
          <dgm:chPref val="3"/>
        </dgm:presLayoutVars>
      </dgm:prSet>
      <dgm:spPr/>
      <dgm:t>
        <a:bodyPr/>
        <a:lstStyle/>
        <a:p>
          <a:endParaRPr lang="en-US"/>
        </a:p>
      </dgm:t>
    </dgm:pt>
    <dgm:pt modelId="{B11684BC-395D-4AF0-9BB5-132053141229}" type="pres">
      <dgm:prSet presAssocID="{D6C313C6-30C2-495A-9775-B31DED09033C}" presName="rootConnector" presStyleLbl="node3" presStyleIdx="0" presStyleCnt="1"/>
      <dgm:spPr/>
      <dgm:t>
        <a:bodyPr/>
        <a:lstStyle/>
        <a:p>
          <a:endParaRPr lang="en-US"/>
        </a:p>
      </dgm:t>
    </dgm:pt>
    <dgm:pt modelId="{98F73657-3805-436E-8A35-FD358EEC6397}" type="pres">
      <dgm:prSet presAssocID="{D6C313C6-30C2-495A-9775-B31DED09033C}" presName="hierChild4" presStyleCnt="0"/>
      <dgm:spPr/>
    </dgm:pt>
    <dgm:pt modelId="{865E6F69-7FED-449C-990E-2B134817BC62}" type="pres">
      <dgm:prSet presAssocID="{D6C313C6-30C2-495A-9775-B31DED09033C}" presName="hierChild5" presStyleCnt="0"/>
      <dgm:spPr/>
    </dgm:pt>
    <dgm:pt modelId="{32308437-91F0-402B-B981-44756BD667D4}" type="pres">
      <dgm:prSet presAssocID="{E4E39D5A-1692-454A-B350-135B69824FDF}" presName="hierChild5" presStyleCnt="0"/>
      <dgm:spPr/>
    </dgm:pt>
    <dgm:pt modelId="{07618989-E905-4F25-9146-7AE5E362B041}" type="pres">
      <dgm:prSet presAssocID="{044F73E4-83FA-42CC-BE98-90C13B908B5D}" presName="hierChild3" presStyleCnt="0"/>
      <dgm:spPr/>
    </dgm:pt>
  </dgm:ptLst>
  <dgm:cxnLst>
    <dgm:cxn modelId="{A45257D7-E35F-4967-80AE-8B22C83FB8AC}" type="presOf" srcId="{4123C92C-9658-461B-9C3C-70644E56B9EF}" destId="{4350DDB3-45BD-407E-99E6-C252FA4E230D}" srcOrd="0" destOrd="0" presId="urn:microsoft.com/office/officeart/2005/8/layout/orgChart1"/>
    <dgm:cxn modelId="{5EB452F8-43D8-4EB4-981A-3E5BFAC19400}" type="presOf" srcId="{884ACE97-2380-43E5-A5D1-303D073C6EDF}" destId="{4C8F08A5-F301-4F73-AE1A-BD767FD8CCE0}" srcOrd="0" destOrd="0" presId="urn:microsoft.com/office/officeart/2005/8/layout/orgChart1"/>
    <dgm:cxn modelId="{57A253B5-C2BE-4248-811A-EC93C97265B0}" type="presOf" srcId="{30D726B1-C4EF-41C9-BFCA-952FB75FC54B}" destId="{D1AF3DAF-FF6F-45C7-9B38-C080C1E1E935}" srcOrd="0" destOrd="0" presId="urn:microsoft.com/office/officeart/2005/8/layout/orgChart1"/>
    <dgm:cxn modelId="{B3CDF5FD-DF06-4F77-AEF3-CD38C70AC2C4}" srcId="{044F73E4-83FA-42CC-BE98-90C13B908B5D}" destId="{E4E39D5A-1692-454A-B350-135B69824FDF}" srcOrd="0" destOrd="0" parTransId="{884ACE97-2380-43E5-A5D1-303D073C6EDF}" sibTransId="{E01B5094-3934-45D1-9FF7-CEA8CBBD70E7}"/>
    <dgm:cxn modelId="{8E273574-647B-4B4D-940B-530D9FB78D32}" type="presOf" srcId="{044F73E4-83FA-42CC-BE98-90C13B908B5D}" destId="{491B8085-A9E9-4449-8566-1D7A41BE83AE}" srcOrd="1" destOrd="0" presId="urn:microsoft.com/office/officeart/2005/8/layout/orgChart1"/>
    <dgm:cxn modelId="{5D3FC4DC-2DEA-407B-92BB-0A842A76CBB9}" srcId="{30D726B1-C4EF-41C9-BFCA-952FB75FC54B}" destId="{044F73E4-83FA-42CC-BE98-90C13B908B5D}" srcOrd="0" destOrd="0" parTransId="{3283045C-5250-472A-91BC-1C469C01EC0D}" sibTransId="{C3839FCF-2435-4B2A-9BA6-564ABF546A9B}"/>
    <dgm:cxn modelId="{81967A91-0AAB-4C0A-9C6B-4E65D1110F0F}" type="presOf" srcId="{044F73E4-83FA-42CC-BE98-90C13B908B5D}" destId="{9DB68C36-7A74-4704-8171-1DECF6988838}" srcOrd="0" destOrd="0" presId="urn:microsoft.com/office/officeart/2005/8/layout/orgChart1"/>
    <dgm:cxn modelId="{AAD8525B-003A-4393-B2C1-19F13F726B62}" type="presOf" srcId="{E4E39D5A-1692-454A-B350-135B69824FDF}" destId="{D1CA3011-7E72-440D-9A59-A103A7B3B423}" srcOrd="0" destOrd="0" presId="urn:microsoft.com/office/officeart/2005/8/layout/orgChart1"/>
    <dgm:cxn modelId="{2F6BED72-4D37-4277-8DDF-2070D1F51D74}" srcId="{E4E39D5A-1692-454A-B350-135B69824FDF}" destId="{D6C313C6-30C2-495A-9775-B31DED09033C}" srcOrd="0" destOrd="0" parTransId="{4123C92C-9658-461B-9C3C-70644E56B9EF}" sibTransId="{464233A8-204E-45A2-AEF7-C1D37F660B31}"/>
    <dgm:cxn modelId="{3E943E97-FCC8-4D52-B82C-0A1712267942}" type="presOf" srcId="{D6C313C6-30C2-495A-9775-B31DED09033C}" destId="{F2DA0F51-66AD-4E91-8F7E-AAE92445AADE}" srcOrd="0" destOrd="0" presId="urn:microsoft.com/office/officeart/2005/8/layout/orgChart1"/>
    <dgm:cxn modelId="{F726C4BE-DE22-47E2-B98F-C19B88813AAF}" type="presOf" srcId="{D6C313C6-30C2-495A-9775-B31DED09033C}" destId="{B11684BC-395D-4AF0-9BB5-132053141229}" srcOrd="1" destOrd="0" presId="urn:microsoft.com/office/officeart/2005/8/layout/orgChart1"/>
    <dgm:cxn modelId="{178099E9-F088-4D75-87F5-3FD46EEBD349}" type="presOf" srcId="{E4E39D5A-1692-454A-B350-135B69824FDF}" destId="{15EA6705-5D73-445E-B410-578D143E578E}" srcOrd="1" destOrd="0" presId="urn:microsoft.com/office/officeart/2005/8/layout/orgChart1"/>
    <dgm:cxn modelId="{74700734-8F3D-4E07-AB2A-B39A5E15F250}" type="presParOf" srcId="{D1AF3DAF-FF6F-45C7-9B38-C080C1E1E935}" destId="{A9EC3AE4-CB05-4085-B6DA-2267A28E0B43}" srcOrd="0" destOrd="0" presId="urn:microsoft.com/office/officeart/2005/8/layout/orgChart1"/>
    <dgm:cxn modelId="{E51C07B9-217E-4DD9-BF56-5C1883FB95C0}" type="presParOf" srcId="{A9EC3AE4-CB05-4085-B6DA-2267A28E0B43}" destId="{671D6B3B-8E30-4AE1-B531-AFA126A08AA2}" srcOrd="0" destOrd="0" presId="urn:microsoft.com/office/officeart/2005/8/layout/orgChart1"/>
    <dgm:cxn modelId="{1F81A92F-DE53-451A-A4A5-0EDBD3D58957}" type="presParOf" srcId="{671D6B3B-8E30-4AE1-B531-AFA126A08AA2}" destId="{9DB68C36-7A74-4704-8171-1DECF6988838}" srcOrd="0" destOrd="0" presId="urn:microsoft.com/office/officeart/2005/8/layout/orgChart1"/>
    <dgm:cxn modelId="{18A15520-827D-40E7-ABBD-450D19779343}" type="presParOf" srcId="{671D6B3B-8E30-4AE1-B531-AFA126A08AA2}" destId="{491B8085-A9E9-4449-8566-1D7A41BE83AE}" srcOrd="1" destOrd="0" presId="urn:microsoft.com/office/officeart/2005/8/layout/orgChart1"/>
    <dgm:cxn modelId="{231B06B4-21D2-4F79-9232-8E0DFC5C1279}" type="presParOf" srcId="{A9EC3AE4-CB05-4085-B6DA-2267A28E0B43}" destId="{F1CCE68C-6404-417C-B5F6-DA9EF447990A}" srcOrd="1" destOrd="0" presId="urn:microsoft.com/office/officeart/2005/8/layout/orgChart1"/>
    <dgm:cxn modelId="{B50BFB64-4903-4620-B276-1D6D1A8365AD}" type="presParOf" srcId="{F1CCE68C-6404-417C-B5F6-DA9EF447990A}" destId="{4C8F08A5-F301-4F73-AE1A-BD767FD8CCE0}" srcOrd="0" destOrd="0" presId="urn:microsoft.com/office/officeart/2005/8/layout/orgChart1"/>
    <dgm:cxn modelId="{C5763094-D4C8-4880-8496-3B73181ED61D}" type="presParOf" srcId="{F1CCE68C-6404-417C-B5F6-DA9EF447990A}" destId="{AA22EE97-CD8C-4D24-B213-32D50FC02843}" srcOrd="1" destOrd="0" presId="urn:microsoft.com/office/officeart/2005/8/layout/orgChart1"/>
    <dgm:cxn modelId="{2F467673-9ACF-496C-9DD6-67FFD07BC11B}" type="presParOf" srcId="{AA22EE97-CD8C-4D24-B213-32D50FC02843}" destId="{6FC3E417-1388-41B5-BF45-F8629772CB0F}" srcOrd="0" destOrd="0" presId="urn:microsoft.com/office/officeart/2005/8/layout/orgChart1"/>
    <dgm:cxn modelId="{8560D515-80A9-4F5B-BBF2-066EAADBE616}" type="presParOf" srcId="{6FC3E417-1388-41B5-BF45-F8629772CB0F}" destId="{D1CA3011-7E72-440D-9A59-A103A7B3B423}" srcOrd="0" destOrd="0" presId="urn:microsoft.com/office/officeart/2005/8/layout/orgChart1"/>
    <dgm:cxn modelId="{772EE27C-2565-4AA9-9327-9A4D755A81BB}" type="presParOf" srcId="{6FC3E417-1388-41B5-BF45-F8629772CB0F}" destId="{15EA6705-5D73-445E-B410-578D143E578E}" srcOrd="1" destOrd="0" presId="urn:microsoft.com/office/officeart/2005/8/layout/orgChart1"/>
    <dgm:cxn modelId="{1DB7A2D2-1294-4CA5-B3DC-2236F165D5F4}" type="presParOf" srcId="{AA22EE97-CD8C-4D24-B213-32D50FC02843}" destId="{B9AA1BFE-DEE3-4937-9463-0CAAED2240CF}" srcOrd="1" destOrd="0" presId="urn:microsoft.com/office/officeart/2005/8/layout/orgChart1"/>
    <dgm:cxn modelId="{085D5F7C-FF61-4CEF-9BCE-63D5B59849AB}" type="presParOf" srcId="{B9AA1BFE-DEE3-4937-9463-0CAAED2240CF}" destId="{4350DDB3-45BD-407E-99E6-C252FA4E230D}" srcOrd="0" destOrd="0" presId="urn:microsoft.com/office/officeart/2005/8/layout/orgChart1"/>
    <dgm:cxn modelId="{EB36406D-E27B-430B-89E2-DC29D46722AF}" type="presParOf" srcId="{B9AA1BFE-DEE3-4937-9463-0CAAED2240CF}" destId="{ED3EE870-C5EC-4BB8-881A-3A55712CC22C}" srcOrd="1" destOrd="0" presId="urn:microsoft.com/office/officeart/2005/8/layout/orgChart1"/>
    <dgm:cxn modelId="{6FCE4B22-DCDD-4C11-8B2C-F545BE2B5D9F}" type="presParOf" srcId="{ED3EE870-C5EC-4BB8-881A-3A55712CC22C}" destId="{05DF7A25-FDB3-4833-BC1B-BCAEF973814F}" srcOrd="0" destOrd="0" presId="urn:microsoft.com/office/officeart/2005/8/layout/orgChart1"/>
    <dgm:cxn modelId="{E6B5922A-574A-439B-A94D-082AC2DBD58D}" type="presParOf" srcId="{05DF7A25-FDB3-4833-BC1B-BCAEF973814F}" destId="{F2DA0F51-66AD-4E91-8F7E-AAE92445AADE}" srcOrd="0" destOrd="0" presId="urn:microsoft.com/office/officeart/2005/8/layout/orgChart1"/>
    <dgm:cxn modelId="{1FC64993-0B6C-4411-982D-A59093F01939}" type="presParOf" srcId="{05DF7A25-FDB3-4833-BC1B-BCAEF973814F}" destId="{B11684BC-395D-4AF0-9BB5-132053141229}" srcOrd="1" destOrd="0" presId="urn:microsoft.com/office/officeart/2005/8/layout/orgChart1"/>
    <dgm:cxn modelId="{0E3ECC03-D231-41C7-BBA4-801B091B00C2}" type="presParOf" srcId="{ED3EE870-C5EC-4BB8-881A-3A55712CC22C}" destId="{98F73657-3805-436E-8A35-FD358EEC6397}" srcOrd="1" destOrd="0" presId="urn:microsoft.com/office/officeart/2005/8/layout/orgChart1"/>
    <dgm:cxn modelId="{46052743-07D9-4911-AF18-BCFBFC42A20C}" type="presParOf" srcId="{ED3EE870-C5EC-4BB8-881A-3A55712CC22C}" destId="{865E6F69-7FED-449C-990E-2B134817BC62}" srcOrd="2" destOrd="0" presId="urn:microsoft.com/office/officeart/2005/8/layout/orgChart1"/>
    <dgm:cxn modelId="{049F343A-D36C-421A-A638-DF100EA7335D}" type="presParOf" srcId="{AA22EE97-CD8C-4D24-B213-32D50FC02843}" destId="{32308437-91F0-402B-B981-44756BD667D4}" srcOrd="2" destOrd="0" presId="urn:microsoft.com/office/officeart/2005/8/layout/orgChart1"/>
    <dgm:cxn modelId="{5CE2A98A-4D52-47BA-928C-0D96D873B6F3}" type="presParOf" srcId="{A9EC3AE4-CB05-4085-B6DA-2267A28E0B43}" destId="{07618989-E905-4F25-9146-7AE5E362B04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50DDB3-45BD-407E-99E6-C252FA4E230D}">
      <dsp:nvSpPr>
        <dsp:cNvPr id="0" name=""/>
        <dsp:cNvSpPr/>
      </dsp:nvSpPr>
      <dsp:spPr>
        <a:xfrm>
          <a:off x="2244089" y="2599883"/>
          <a:ext cx="91440" cy="255339"/>
        </a:xfrm>
        <a:custGeom>
          <a:avLst/>
          <a:gdLst/>
          <a:ahLst/>
          <a:cxnLst/>
          <a:rect l="0" t="0" r="0" b="0"/>
          <a:pathLst>
            <a:path>
              <a:moveTo>
                <a:pt x="45720" y="0"/>
              </a:moveTo>
              <a:lnTo>
                <a:pt x="45720" y="2553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8F08A5-F301-4F73-AE1A-BD767FD8CCE0}">
      <dsp:nvSpPr>
        <dsp:cNvPr id="0" name=""/>
        <dsp:cNvSpPr/>
      </dsp:nvSpPr>
      <dsp:spPr>
        <a:xfrm>
          <a:off x="2244089" y="1251234"/>
          <a:ext cx="91440" cy="255339"/>
        </a:xfrm>
        <a:custGeom>
          <a:avLst/>
          <a:gdLst/>
          <a:ahLst/>
          <a:cxnLst/>
          <a:rect l="0" t="0" r="0" b="0"/>
          <a:pathLst>
            <a:path>
              <a:moveTo>
                <a:pt x="45720" y="0"/>
              </a:moveTo>
              <a:lnTo>
                <a:pt x="45720" y="255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68C36-7A74-4704-8171-1DECF6988838}">
      <dsp:nvSpPr>
        <dsp:cNvPr id="0" name=""/>
        <dsp:cNvSpPr/>
      </dsp:nvSpPr>
      <dsp:spPr>
        <a:xfrm>
          <a:off x="638790" y="465"/>
          <a:ext cx="3302038" cy="1250768"/>
        </a:xfrm>
        <a:prstGeom prst="rect">
          <a:avLst/>
        </a:prstGeom>
        <a:solidFill>
          <a:schemeClr val="bg1">
            <a:lumMod val="7500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solidFill>
                <a:schemeClr val="tx1"/>
              </a:solidFill>
              <a:latin typeface="Calibri" panose="020F0502020204030204" pitchFamily="34" charset="0"/>
            </a:rPr>
            <a:t>Fermilab  Directorate</a:t>
          </a:r>
        </a:p>
        <a:p>
          <a:pPr marR="0" lvl="0" algn="ctr" defTabSz="622300" rtl="0">
            <a:lnSpc>
              <a:spcPct val="90000"/>
            </a:lnSpc>
            <a:spcBef>
              <a:spcPct val="0"/>
            </a:spcBef>
            <a:spcAft>
              <a:spcPct val="35000"/>
            </a:spcAft>
          </a:pPr>
          <a:r>
            <a:rPr lang="en-US" sz="1100" b="0" i="0" u="none" strike="noStrike" kern="1200" baseline="0" smtClean="0">
              <a:solidFill>
                <a:schemeClr val="tx1"/>
              </a:solidFill>
              <a:latin typeface="Calibri" panose="020F0502020204030204" pitchFamily="34" charset="0"/>
            </a:rPr>
            <a:t>Nigel Lockyer, Director</a:t>
          </a:r>
        </a:p>
        <a:p>
          <a:pPr marR="0" lvl="0" algn="ctr" defTabSz="622300" rtl="0">
            <a:lnSpc>
              <a:spcPct val="90000"/>
            </a:lnSpc>
            <a:spcBef>
              <a:spcPct val="0"/>
            </a:spcBef>
            <a:spcAft>
              <a:spcPct val="35000"/>
            </a:spcAft>
          </a:pPr>
          <a:r>
            <a:rPr lang="en-US" sz="1100" b="0" i="0" u="none" strike="noStrike" kern="1200" baseline="0" smtClean="0">
              <a:solidFill>
                <a:schemeClr val="tx1"/>
              </a:solidFill>
              <a:latin typeface="Calibri" panose="020F0502020204030204" pitchFamily="34" charset="0"/>
            </a:rPr>
            <a:t>Stuart Henderson, Associate Director for Accelerators</a:t>
          </a:r>
          <a:endParaRPr lang="en-US" sz="1100" kern="1200" smtClean="0">
            <a:solidFill>
              <a:schemeClr val="tx1"/>
            </a:solidFill>
            <a:latin typeface="Calibri" panose="020F0502020204030204" pitchFamily="34" charset="0"/>
          </a:endParaRPr>
        </a:p>
      </dsp:txBody>
      <dsp:txXfrm>
        <a:off x="638790" y="465"/>
        <a:ext cx="3302038" cy="1250768"/>
      </dsp:txXfrm>
    </dsp:sp>
    <dsp:sp modelId="{D1CA3011-7E72-440D-9A59-A103A7B3B423}">
      <dsp:nvSpPr>
        <dsp:cNvPr id="0" name=""/>
        <dsp:cNvSpPr/>
      </dsp:nvSpPr>
      <dsp:spPr>
        <a:xfrm>
          <a:off x="677638" y="1506574"/>
          <a:ext cx="3224342" cy="1093309"/>
        </a:xfrm>
        <a:prstGeom prst="rect">
          <a:avLst/>
        </a:prstGeom>
        <a:solidFill>
          <a:schemeClr val="bg1">
            <a:lumMod val="7500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solidFill>
                <a:schemeClr val="tx1"/>
              </a:solidFill>
              <a:latin typeface="Calibri" panose="020F0502020204030204" pitchFamily="34" charset="0"/>
            </a:rPr>
            <a:t>Accelerator Division</a:t>
          </a:r>
        </a:p>
        <a:p>
          <a:pPr marR="0" lvl="0" algn="ctr" defTabSz="622300" rtl="0">
            <a:lnSpc>
              <a:spcPct val="90000"/>
            </a:lnSpc>
            <a:spcBef>
              <a:spcPct val="0"/>
            </a:spcBef>
            <a:spcAft>
              <a:spcPct val="35000"/>
            </a:spcAft>
          </a:pPr>
          <a:r>
            <a:rPr lang="en-US" sz="1100" b="0" i="0" u="none" strike="noStrike" kern="1200" baseline="0" smtClean="0">
              <a:solidFill>
                <a:schemeClr val="tx1"/>
              </a:solidFill>
              <a:latin typeface="Calibri" panose="020F0502020204030204" pitchFamily="34" charset="0"/>
            </a:rPr>
            <a:t>Roger Dixon, Head</a:t>
          </a:r>
        </a:p>
        <a:p>
          <a:pPr marR="0" lvl="0" algn="ctr" defTabSz="622300" rtl="0">
            <a:lnSpc>
              <a:spcPct val="90000"/>
            </a:lnSpc>
            <a:spcBef>
              <a:spcPct val="0"/>
            </a:spcBef>
            <a:spcAft>
              <a:spcPct val="35000"/>
            </a:spcAft>
          </a:pPr>
          <a:r>
            <a:rPr lang="en-US" sz="1100" b="0" i="0" u="none" strike="noStrike" kern="1200" baseline="0" smtClean="0">
              <a:solidFill>
                <a:schemeClr val="tx1"/>
              </a:solidFill>
              <a:latin typeface="Calibri" panose="020F0502020204030204" pitchFamily="34" charset="0"/>
            </a:rPr>
            <a:t>Mary Convery, Muon Campus Program Coordinator</a:t>
          </a:r>
        </a:p>
      </dsp:txBody>
      <dsp:txXfrm>
        <a:off x="677638" y="1506574"/>
        <a:ext cx="3224342" cy="1093309"/>
      </dsp:txXfrm>
    </dsp:sp>
    <dsp:sp modelId="{F2DA0F51-66AD-4E91-8F7E-AAE92445AADE}">
      <dsp:nvSpPr>
        <dsp:cNvPr id="0" name=""/>
        <dsp:cNvSpPr/>
      </dsp:nvSpPr>
      <dsp:spPr>
        <a:xfrm>
          <a:off x="685797" y="2855222"/>
          <a:ext cx="3208025" cy="862871"/>
        </a:xfrm>
        <a:prstGeom prst="rect">
          <a:avLst/>
        </a:prstGeom>
        <a:solidFill>
          <a:schemeClr val="bg1">
            <a:lumMod val="7500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i="0" u="none" strike="noStrike" kern="1200" baseline="0" smtClean="0">
              <a:solidFill>
                <a:schemeClr val="tx1"/>
              </a:solidFill>
              <a:latin typeface="Calibri" panose="020F0502020204030204" pitchFamily="34" charset="0"/>
            </a:rPr>
            <a:t>Delivery Ring AIP</a:t>
          </a:r>
        </a:p>
        <a:p>
          <a:pPr marR="0" lvl="0" algn="ctr" defTabSz="622300" rtl="0">
            <a:lnSpc>
              <a:spcPct val="90000"/>
            </a:lnSpc>
            <a:spcBef>
              <a:spcPct val="0"/>
            </a:spcBef>
            <a:spcAft>
              <a:spcPct val="35000"/>
            </a:spcAft>
          </a:pPr>
          <a:r>
            <a:rPr lang="en-US" sz="1100" b="0" i="0" u="none" strike="noStrike" kern="1200" baseline="0" smtClean="0">
              <a:solidFill>
                <a:schemeClr val="tx1"/>
              </a:solidFill>
              <a:latin typeface="Calibri" panose="020F0502020204030204" pitchFamily="34" charset="0"/>
            </a:rPr>
            <a:t>Gerald Annala, Project Manager</a:t>
          </a:r>
        </a:p>
        <a:p>
          <a:pPr marR="0" lvl="0" algn="ctr" defTabSz="622300" rtl="0">
            <a:lnSpc>
              <a:spcPct val="90000"/>
            </a:lnSpc>
            <a:spcBef>
              <a:spcPct val="0"/>
            </a:spcBef>
            <a:spcAft>
              <a:spcPct val="35000"/>
            </a:spcAft>
          </a:pPr>
          <a:r>
            <a:rPr lang="en-US" sz="1100" b="0" i="0" u="none" strike="noStrike" kern="1200" baseline="0" smtClean="0">
              <a:solidFill>
                <a:schemeClr val="tx1"/>
              </a:solidFill>
              <a:latin typeface="Calibri" panose="020F0502020204030204" pitchFamily="34" charset="0"/>
            </a:rPr>
            <a:t>Jim Morgan, Deputy Project Manager</a:t>
          </a:r>
        </a:p>
      </dsp:txBody>
      <dsp:txXfrm>
        <a:off x="685797" y="2855222"/>
        <a:ext cx="3208025" cy="862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2A3A-14E7-4A72-8CE6-C27ACAFB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9309</TotalTime>
  <Pages>18</Pages>
  <Words>2678</Words>
  <Characters>16683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Name Here</vt:lpstr>
    </vt:vector>
  </TitlesOfParts>
  <Company>FNAL</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dc:title>
  <dc:creator>derwent paul</dc:creator>
  <cp:lastModifiedBy>Gerald E. Annala x3804 06541N</cp:lastModifiedBy>
  <cp:revision>11</cp:revision>
  <cp:lastPrinted>2013-08-27T13:45:00Z</cp:lastPrinted>
  <dcterms:created xsi:type="dcterms:W3CDTF">2013-08-23T19:31:00Z</dcterms:created>
  <dcterms:modified xsi:type="dcterms:W3CDTF">2013-09-06T18:37:00Z</dcterms:modified>
</cp:coreProperties>
</file>