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2A" w:rsidRDefault="00067152" w:rsidP="00664C8E">
      <w:pPr>
        <w:pStyle w:val="Title"/>
        <w:jc w:val="center"/>
      </w:pPr>
      <w:r>
        <w:t>Intensity Monitors in the Fixed Target Area</w:t>
      </w:r>
    </w:p>
    <w:p w:rsidR="00EC2C35" w:rsidRDefault="00EC2C35" w:rsidP="00664C8E">
      <w:pPr>
        <w:pStyle w:val="Title"/>
        <w:jc w:val="center"/>
      </w:pPr>
      <w:r>
        <w:t>2017-2018 Run</w:t>
      </w:r>
    </w:p>
    <w:p w:rsidR="00EC2C35" w:rsidRPr="00664C8E" w:rsidRDefault="00915601" w:rsidP="00664C8E">
      <w:pPr>
        <w:pStyle w:val="Subtitle"/>
        <w:jc w:val="center"/>
        <w:rPr>
          <w:color w:val="000000" w:themeColor="text1"/>
        </w:rPr>
      </w:pPr>
      <w:r>
        <w:rPr>
          <w:color w:val="000000" w:themeColor="text1"/>
        </w:rPr>
        <w:t>January 11</w:t>
      </w:r>
      <w:r w:rsidR="00EC2C35" w:rsidRPr="00664C8E">
        <w:rPr>
          <w:color w:val="000000" w:themeColor="text1"/>
        </w:rPr>
        <w:t>, 2018</w:t>
      </w:r>
    </w:p>
    <w:p w:rsidR="00EC2C35" w:rsidRPr="00664C8E" w:rsidRDefault="00EC2C35" w:rsidP="00664C8E">
      <w:pPr>
        <w:pStyle w:val="Subtitle"/>
        <w:jc w:val="center"/>
        <w:rPr>
          <w:color w:val="000000" w:themeColor="text1"/>
        </w:rPr>
      </w:pPr>
      <w:r w:rsidRPr="00664C8E">
        <w:rPr>
          <w:color w:val="000000" w:themeColor="text1"/>
        </w:rPr>
        <w:t>T. Kobilarcik and A. Watts</w:t>
      </w:r>
    </w:p>
    <w:p w:rsidR="008B2E60" w:rsidRDefault="008B2E60">
      <w:r>
        <w:t>ABSTRACT</w:t>
      </w:r>
    </w:p>
    <w:p w:rsidR="008B2E60" w:rsidRDefault="008B2E60" w:rsidP="00664C8E">
      <w:pPr>
        <w:ind w:right="720" w:firstLine="720"/>
        <w:jc w:val="both"/>
      </w:pPr>
      <w:r>
        <w:t>The locations and types of intensity monitors in the Fixed Target Area are documented.</w:t>
      </w:r>
    </w:p>
    <w:p w:rsidR="008B2E60" w:rsidRDefault="00FD5261" w:rsidP="00664C8E">
      <w:pPr>
        <w:pStyle w:val="Heading1"/>
      </w:pPr>
      <w:r>
        <w:t>Introduction</w:t>
      </w:r>
    </w:p>
    <w:p w:rsidR="008D1DD1" w:rsidRDefault="008D1DD1">
      <w:r>
        <w:t>Beam intensity through the fixed target enclosures and to the experiments must be monitored.  The monitoring devices are typically located where the beam splits.  Monitoring devices are chosen to be commensurate with beam intensity.  This document is a summary of what presently exists; familiarity with the geography and layout is assumed.</w:t>
      </w:r>
    </w:p>
    <w:p w:rsidR="008A43EC" w:rsidRDefault="008A43EC" w:rsidP="00664C8E">
      <w:pPr>
        <w:pStyle w:val="Heading1"/>
      </w:pPr>
      <w:r>
        <w:t>Layout</w:t>
      </w:r>
    </w:p>
    <w:p w:rsidR="00FD5261" w:rsidRDefault="00FD5261">
      <w:r>
        <w:t>Figure 1 shows a layout of the fixed target area and associated accelerators.</w:t>
      </w:r>
      <w:r w:rsidR="008A43EC">
        <w:t xml:space="preserve">  120 GeV beam is extracted from the </w:t>
      </w:r>
      <w:r>
        <w:t xml:space="preserve">Main Injector, </w:t>
      </w:r>
      <w:r w:rsidR="008A43EC">
        <w:t>transported (P1, p2) through the Main Ring Remnant (P3)</w:t>
      </w:r>
      <w:r>
        <w:t xml:space="preserve">, </w:t>
      </w:r>
      <w:r w:rsidR="008A43EC">
        <w:t>sent through Switchyard (C, F1), and to the Switchyard Absorber</w:t>
      </w:r>
      <w:r>
        <w:t xml:space="preserve"> and Fixed Target beamlines (</w:t>
      </w:r>
      <w:proofErr w:type="spellStart"/>
      <w:r>
        <w:t>MTest</w:t>
      </w:r>
      <w:proofErr w:type="spellEnd"/>
      <w:r>
        <w:t xml:space="preserve">, </w:t>
      </w:r>
      <w:proofErr w:type="spellStart"/>
      <w:r>
        <w:t>MCenter</w:t>
      </w:r>
      <w:proofErr w:type="spellEnd"/>
      <w:r>
        <w:t>, and New Muon).</w:t>
      </w:r>
      <w:r w:rsidR="008A43EC">
        <w:t xml:space="preserve">  For simplicity, intermediate enclosures, such as G2, are not shown.</w:t>
      </w:r>
    </w:p>
    <w:p w:rsidR="008A43EC" w:rsidRDefault="008A43EC" w:rsidP="00664C8E">
      <w:pPr>
        <w:pStyle w:val="Heading1"/>
      </w:pPr>
      <w:r>
        <w:t>Intensity Monitoring</w:t>
      </w:r>
    </w:p>
    <w:p w:rsidR="008A43EC" w:rsidRDefault="008A43EC">
      <w:r>
        <w:t>Figure 2 shows, schematically, the locations of the intensity monitors.  Refer to Table 1.</w:t>
      </w:r>
    </w:p>
    <w:p w:rsidR="00664C8E" w:rsidRDefault="00664C8E" w:rsidP="00664C8E">
      <w:pPr>
        <w:pStyle w:val="Heading1"/>
      </w:pPr>
      <w:r>
        <w:t>Conclusion</w:t>
      </w:r>
    </w:p>
    <w:p w:rsidR="00664C8E" w:rsidRDefault="00664C8E">
      <w:r>
        <w:t>The locations and types of intensity monitors for the fixed target beamlines has been documented.</w:t>
      </w:r>
    </w:p>
    <w:p w:rsidR="008A43EC" w:rsidRDefault="008D1DD1">
      <w:r>
        <w:t>Table 1</w:t>
      </w:r>
    </w:p>
    <w:tbl>
      <w:tblPr>
        <w:tblStyle w:val="TableGrid"/>
        <w:tblW w:w="0" w:type="auto"/>
        <w:tblLook w:val="04A0" w:firstRow="1" w:lastRow="0" w:firstColumn="1" w:lastColumn="0" w:noHBand="0" w:noVBand="1"/>
      </w:tblPr>
      <w:tblGrid>
        <w:gridCol w:w="1255"/>
        <w:gridCol w:w="1170"/>
        <w:gridCol w:w="1710"/>
        <w:gridCol w:w="5215"/>
      </w:tblGrid>
      <w:tr w:rsidR="008D1DD1" w:rsidRPr="008D1DD1" w:rsidTr="00037959">
        <w:tc>
          <w:tcPr>
            <w:tcW w:w="1255" w:type="dxa"/>
          </w:tcPr>
          <w:p w:rsidR="008D1DD1" w:rsidRPr="008D1DD1" w:rsidRDefault="008D1DD1" w:rsidP="00AE2DE7">
            <w:r w:rsidRPr="008D1DD1">
              <w:t>Identifier</w:t>
            </w:r>
          </w:p>
        </w:tc>
        <w:tc>
          <w:tcPr>
            <w:tcW w:w="1170" w:type="dxa"/>
          </w:tcPr>
          <w:p w:rsidR="008D1DD1" w:rsidRPr="008D1DD1" w:rsidRDefault="008D1DD1" w:rsidP="00AE2DE7">
            <w:r w:rsidRPr="008D1DD1">
              <w:t>Type</w:t>
            </w:r>
          </w:p>
        </w:tc>
        <w:tc>
          <w:tcPr>
            <w:tcW w:w="1710" w:type="dxa"/>
          </w:tcPr>
          <w:p w:rsidR="008D1DD1" w:rsidRPr="008D1DD1" w:rsidRDefault="008D1DD1" w:rsidP="00AE2DE7">
            <w:r w:rsidRPr="008D1DD1">
              <w:t>Location</w:t>
            </w:r>
          </w:p>
        </w:tc>
        <w:tc>
          <w:tcPr>
            <w:tcW w:w="5215" w:type="dxa"/>
          </w:tcPr>
          <w:p w:rsidR="008D1DD1" w:rsidRPr="008D1DD1" w:rsidRDefault="008D1DD1" w:rsidP="00AE2DE7">
            <w:r w:rsidRPr="008D1DD1">
              <w:t>Note</w:t>
            </w:r>
          </w:p>
        </w:tc>
      </w:tr>
      <w:tr w:rsidR="008D1DD1" w:rsidRPr="008D1DD1" w:rsidTr="00037959">
        <w:tc>
          <w:tcPr>
            <w:tcW w:w="1255" w:type="dxa"/>
          </w:tcPr>
          <w:p w:rsidR="008D1DD1" w:rsidRPr="008D1DD1" w:rsidRDefault="0057196D" w:rsidP="00AE2DE7">
            <w:r>
              <w:t>MI</w:t>
            </w:r>
          </w:p>
        </w:tc>
        <w:tc>
          <w:tcPr>
            <w:tcW w:w="1170" w:type="dxa"/>
          </w:tcPr>
          <w:p w:rsidR="008D1DD1" w:rsidRPr="008D1DD1" w:rsidRDefault="008D1DD1" w:rsidP="00AE2DE7">
            <w:r w:rsidRPr="008D1DD1">
              <w:t>DCCT</w:t>
            </w:r>
          </w:p>
        </w:tc>
        <w:tc>
          <w:tcPr>
            <w:tcW w:w="1710" w:type="dxa"/>
          </w:tcPr>
          <w:p w:rsidR="008D1DD1" w:rsidRPr="008D1DD1" w:rsidRDefault="008D1DD1" w:rsidP="00AE2DE7">
            <w:r w:rsidRPr="008D1DD1">
              <w:t>Main Injector</w:t>
            </w:r>
          </w:p>
        </w:tc>
        <w:tc>
          <w:tcPr>
            <w:tcW w:w="5215" w:type="dxa"/>
          </w:tcPr>
          <w:p w:rsidR="008D1DD1" w:rsidRPr="008D1DD1" w:rsidRDefault="008D1DD1" w:rsidP="00AE2DE7">
            <w:r w:rsidRPr="008D1DD1">
              <w:t>MI device</w:t>
            </w:r>
          </w:p>
        </w:tc>
      </w:tr>
      <w:tr w:rsidR="008D1DD1" w:rsidRPr="008D1DD1" w:rsidTr="00037959">
        <w:tc>
          <w:tcPr>
            <w:tcW w:w="1255" w:type="dxa"/>
          </w:tcPr>
          <w:p w:rsidR="008D1DD1" w:rsidRPr="008D1DD1" w:rsidRDefault="0057196D" w:rsidP="00AE2DE7">
            <w:r>
              <w:t>F19</w:t>
            </w:r>
          </w:p>
        </w:tc>
        <w:tc>
          <w:tcPr>
            <w:tcW w:w="1170" w:type="dxa"/>
          </w:tcPr>
          <w:p w:rsidR="008D1DD1" w:rsidRPr="008D1DD1" w:rsidRDefault="008D1DD1" w:rsidP="00AE2DE7">
            <w:r w:rsidRPr="008D1DD1">
              <w:t>SEMA</w:t>
            </w:r>
          </w:p>
        </w:tc>
        <w:tc>
          <w:tcPr>
            <w:tcW w:w="1710" w:type="dxa"/>
          </w:tcPr>
          <w:p w:rsidR="008D1DD1" w:rsidRPr="008D1DD1" w:rsidRDefault="008D1DD1" w:rsidP="00AE2DE7">
            <w:r w:rsidRPr="008D1DD1">
              <w:t>F19</w:t>
            </w:r>
          </w:p>
        </w:tc>
        <w:tc>
          <w:tcPr>
            <w:tcW w:w="5215" w:type="dxa"/>
          </w:tcPr>
          <w:p w:rsidR="008D1DD1" w:rsidRPr="008D1DD1" w:rsidRDefault="008D1DD1" w:rsidP="00AE2DE7">
            <w:r w:rsidRPr="008D1DD1">
              <w:t>not implemented</w:t>
            </w:r>
          </w:p>
        </w:tc>
      </w:tr>
      <w:tr w:rsidR="008D1DD1" w:rsidRPr="008D1DD1" w:rsidTr="00037959">
        <w:tc>
          <w:tcPr>
            <w:tcW w:w="1255" w:type="dxa"/>
          </w:tcPr>
          <w:p w:rsidR="008D1DD1" w:rsidRPr="008D1DD1" w:rsidRDefault="000375BB" w:rsidP="00AE2DE7">
            <w:r>
              <w:t>030</w:t>
            </w:r>
          </w:p>
        </w:tc>
        <w:tc>
          <w:tcPr>
            <w:tcW w:w="1170" w:type="dxa"/>
          </w:tcPr>
          <w:p w:rsidR="008D1DD1" w:rsidRPr="008D1DD1" w:rsidRDefault="008D1DD1" w:rsidP="00AE2DE7">
            <w:r w:rsidRPr="008D1DD1">
              <w:t>SEMA</w:t>
            </w:r>
          </w:p>
        </w:tc>
        <w:tc>
          <w:tcPr>
            <w:tcW w:w="1710" w:type="dxa"/>
          </w:tcPr>
          <w:p w:rsidR="008D1DD1" w:rsidRPr="008D1DD1" w:rsidRDefault="008D1DD1" w:rsidP="00AE2DE7">
            <w:proofErr w:type="spellStart"/>
            <w:r w:rsidRPr="008D1DD1">
              <w:t>EncC</w:t>
            </w:r>
            <w:proofErr w:type="spellEnd"/>
          </w:p>
        </w:tc>
        <w:tc>
          <w:tcPr>
            <w:tcW w:w="5215" w:type="dxa"/>
          </w:tcPr>
          <w:p w:rsidR="008D1DD1" w:rsidRPr="008D1DD1" w:rsidRDefault="008D1DD1" w:rsidP="00AE2DE7">
            <w:r w:rsidRPr="008D1DD1">
              <w:t>upstream of Switchyard absorber</w:t>
            </w:r>
          </w:p>
        </w:tc>
      </w:tr>
      <w:tr w:rsidR="000375BB" w:rsidRPr="008D1DD1" w:rsidTr="00037959">
        <w:tc>
          <w:tcPr>
            <w:tcW w:w="1255" w:type="dxa"/>
          </w:tcPr>
          <w:p w:rsidR="000375BB" w:rsidRPr="008D1DD1" w:rsidRDefault="000375BB" w:rsidP="000375BB">
            <w:r>
              <w:t>210</w:t>
            </w:r>
          </w:p>
        </w:tc>
        <w:tc>
          <w:tcPr>
            <w:tcW w:w="1170" w:type="dxa"/>
          </w:tcPr>
          <w:p w:rsidR="000375BB" w:rsidRPr="008D1DD1" w:rsidRDefault="000375BB" w:rsidP="000375BB">
            <w:r w:rsidRPr="008D1DD1">
              <w:t>IC</w:t>
            </w:r>
          </w:p>
        </w:tc>
        <w:tc>
          <w:tcPr>
            <w:tcW w:w="1710" w:type="dxa"/>
          </w:tcPr>
          <w:p w:rsidR="000375BB" w:rsidRPr="008D1DD1" w:rsidRDefault="000375BB" w:rsidP="000375BB">
            <w:r w:rsidRPr="008D1DD1">
              <w:t>F1</w:t>
            </w:r>
          </w:p>
        </w:tc>
        <w:tc>
          <w:tcPr>
            <w:tcW w:w="5215" w:type="dxa"/>
          </w:tcPr>
          <w:p w:rsidR="000375BB" w:rsidRPr="008D1DD1" w:rsidRDefault="000375BB" w:rsidP="000375BB">
            <w:r w:rsidRPr="008D1DD1">
              <w:t xml:space="preserve">upstream of </w:t>
            </w:r>
            <w:proofErr w:type="spellStart"/>
            <w:r w:rsidRPr="008D1DD1">
              <w:t>FSeps</w:t>
            </w:r>
            <w:proofErr w:type="spellEnd"/>
          </w:p>
        </w:tc>
      </w:tr>
      <w:tr w:rsidR="000375BB" w:rsidRPr="008D1DD1" w:rsidTr="00037959">
        <w:tc>
          <w:tcPr>
            <w:tcW w:w="1255" w:type="dxa"/>
          </w:tcPr>
          <w:p w:rsidR="000375BB" w:rsidRPr="008D1DD1" w:rsidRDefault="000375BB" w:rsidP="000375BB">
            <w:r>
              <w:t>MW1</w:t>
            </w:r>
          </w:p>
        </w:tc>
        <w:tc>
          <w:tcPr>
            <w:tcW w:w="1170" w:type="dxa"/>
          </w:tcPr>
          <w:p w:rsidR="000375BB" w:rsidRPr="008D1DD1" w:rsidRDefault="000375BB" w:rsidP="000375BB">
            <w:r>
              <w:t>SEM</w:t>
            </w:r>
          </w:p>
        </w:tc>
        <w:tc>
          <w:tcPr>
            <w:tcW w:w="1710" w:type="dxa"/>
          </w:tcPr>
          <w:p w:rsidR="000375BB" w:rsidRPr="008D1DD1" w:rsidRDefault="000375BB" w:rsidP="000375BB">
            <w:r w:rsidRPr="008D1DD1">
              <w:t>M01</w:t>
            </w:r>
          </w:p>
        </w:tc>
        <w:tc>
          <w:tcPr>
            <w:tcW w:w="5215" w:type="dxa"/>
          </w:tcPr>
          <w:p w:rsidR="000375BB" w:rsidRPr="008D1DD1" w:rsidRDefault="000375BB" w:rsidP="000375BB">
            <w:proofErr w:type="spellStart"/>
            <w:r w:rsidRPr="008D1DD1">
              <w:t>MWest</w:t>
            </w:r>
            <w:proofErr w:type="spellEnd"/>
            <w:r w:rsidRPr="008D1DD1">
              <w:t>, upstream of target train</w:t>
            </w:r>
          </w:p>
        </w:tc>
      </w:tr>
      <w:tr w:rsidR="000375BB" w:rsidRPr="008D1DD1" w:rsidTr="00037959">
        <w:tc>
          <w:tcPr>
            <w:tcW w:w="1255" w:type="dxa"/>
          </w:tcPr>
          <w:p w:rsidR="000375BB" w:rsidRPr="008D1DD1" w:rsidRDefault="000375BB" w:rsidP="000375BB">
            <w:r>
              <w:t>MT4</w:t>
            </w:r>
          </w:p>
        </w:tc>
        <w:tc>
          <w:tcPr>
            <w:tcW w:w="1170" w:type="dxa"/>
          </w:tcPr>
          <w:p w:rsidR="000375BB" w:rsidRPr="008D1DD1" w:rsidRDefault="000375BB" w:rsidP="000375BB">
            <w:r>
              <w:t>IC</w:t>
            </w:r>
          </w:p>
        </w:tc>
        <w:tc>
          <w:tcPr>
            <w:tcW w:w="1710" w:type="dxa"/>
          </w:tcPr>
          <w:p w:rsidR="000375BB" w:rsidRPr="008D1DD1" w:rsidRDefault="000375BB" w:rsidP="000375BB">
            <w:r>
              <w:t>M03</w:t>
            </w:r>
          </w:p>
        </w:tc>
        <w:tc>
          <w:tcPr>
            <w:tcW w:w="5215" w:type="dxa"/>
          </w:tcPr>
          <w:p w:rsidR="000375BB" w:rsidRPr="008D1DD1" w:rsidRDefault="00A80D09" w:rsidP="000375BB">
            <w:r>
              <w:t>u</w:t>
            </w:r>
            <w:r w:rsidR="000375BB">
              <w:t>pstream</w:t>
            </w:r>
            <w:r w:rsidR="00B7040E">
              <w:t xml:space="preserve"> </w:t>
            </w:r>
            <w:r w:rsidR="000375BB">
              <w:t>of MT4 target</w:t>
            </w:r>
          </w:p>
        </w:tc>
      </w:tr>
      <w:tr w:rsidR="000375BB" w:rsidRPr="008D1DD1" w:rsidTr="00037959">
        <w:tc>
          <w:tcPr>
            <w:tcW w:w="1255" w:type="dxa"/>
          </w:tcPr>
          <w:p w:rsidR="000375BB" w:rsidRPr="008D1DD1" w:rsidRDefault="000375BB" w:rsidP="000375BB">
            <w:r>
              <w:t>MT6</w:t>
            </w:r>
          </w:p>
        </w:tc>
        <w:tc>
          <w:tcPr>
            <w:tcW w:w="1170" w:type="dxa"/>
          </w:tcPr>
          <w:p w:rsidR="000375BB" w:rsidRPr="008D1DD1" w:rsidRDefault="000375BB" w:rsidP="000375BB">
            <w:r w:rsidRPr="008D1DD1">
              <w:t>SC</w:t>
            </w:r>
          </w:p>
        </w:tc>
        <w:tc>
          <w:tcPr>
            <w:tcW w:w="1710" w:type="dxa"/>
          </w:tcPr>
          <w:p w:rsidR="000375BB" w:rsidRPr="008D1DD1" w:rsidRDefault="000375BB" w:rsidP="000375BB">
            <w:r w:rsidRPr="008D1DD1">
              <w:t>MT6</w:t>
            </w:r>
          </w:p>
        </w:tc>
        <w:tc>
          <w:tcPr>
            <w:tcW w:w="5215" w:type="dxa"/>
          </w:tcPr>
          <w:p w:rsidR="000375BB" w:rsidRPr="008D1DD1" w:rsidRDefault="000375BB" w:rsidP="000375BB">
            <w:r w:rsidRPr="008D1DD1">
              <w:t>may vary depending on experiment</w:t>
            </w:r>
          </w:p>
        </w:tc>
      </w:tr>
      <w:tr w:rsidR="000375BB" w:rsidRPr="008D1DD1" w:rsidTr="00037959">
        <w:tc>
          <w:tcPr>
            <w:tcW w:w="1255" w:type="dxa"/>
          </w:tcPr>
          <w:p w:rsidR="000375BB" w:rsidRPr="008D1DD1" w:rsidRDefault="000375BB" w:rsidP="000375BB">
            <w:r>
              <w:t>MC1</w:t>
            </w:r>
          </w:p>
        </w:tc>
        <w:tc>
          <w:tcPr>
            <w:tcW w:w="1170" w:type="dxa"/>
          </w:tcPr>
          <w:p w:rsidR="000375BB" w:rsidRPr="008D1DD1" w:rsidRDefault="000375BB" w:rsidP="000375BB">
            <w:r>
              <w:t>IC</w:t>
            </w:r>
          </w:p>
        </w:tc>
        <w:tc>
          <w:tcPr>
            <w:tcW w:w="1710" w:type="dxa"/>
          </w:tcPr>
          <w:p w:rsidR="000375BB" w:rsidRPr="008D1DD1" w:rsidRDefault="000375BB" w:rsidP="000375BB">
            <w:r>
              <w:t>M01</w:t>
            </w:r>
          </w:p>
        </w:tc>
        <w:tc>
          <w:tcPr>
            <w:tcW w:w="5215" w:type="dxa"/>
          </w:tcPr>
          <w:p w:rsidR="000375BB" w:rsidRPr="008D1DD1" w:rsidRDefault="000375BB" w:rsidP="000375BB">
            <w:proofErr w:type="spellStart"/>
            <w:r>
              <w:t>MCenter</w:t>
            </w:r>
            <w:proofErr w:type="spellEnd"/>
            <w:r>
              <w:t>, upstream of target train</w:t>
            </w:r>
          </w:p>
        </w:tc>
      </w:tr>
      <w:tr w:rsidR="000375BB" w:rsidRPr="008D1DD1" w:rsidTr="00037959">
        <w:tc>
          <w:tcPr>
            <w:tcW w:w="1255" w:type="dxa"/>
          </w:tcPr>
          <w:p w:rsidR="000375BB" w:rsidRPr="008D1DD1" w:rsidRDefault="000375BB" w:rsidP="000375BB">
            <w:r>
              <w:t>MC5</w:t>
            </w:r>
          </w:p>
        </w:tc>
        <w:tc>
          <w:tcPr>
            <w:tcW w:w="1170" w:type="dxa"/>
          </w:tcPr>
          <w:p w:rsidR="000375BB" w:rsidRPr="008D1DD1" w:rsidRDefault="000375BB" w:rsidP="000375BB">
            <w:r w:rsidRPr="008D1DD1">
              <w:t>IC</w:t>
            </w:r>
          </w:p>
        </w:tc>
        <w:tc>
          <w:tcPr>
            <w:tcW w:w="1710" w:type="dxa"/>
          </w:tcPr>
          <w:p w:rsidR="000375BB" w:rsidRPr="008D1DD1" w:rsidRDefault="000375BB" w:rsidP="000375BB">
            <w:r w:rsidRPr="008D1DD1">
              <w:t>M05</w:t>
            </w:r>
          </w:p>
        </w:tc>
        <w:tc>
          <w:tcPr>
            <w:tcW w:w="5215" w:type="dxa"/>
          </w:tcPr>
          <w:p w:rsidR="000375BB" w:rsidRPr="008D1DD1" w:rsidRDefault="000375BB" w:rsidP="000375BB">
            <w:proofErr w:type="spellStart"/>
            <w:r w:rsidRPr="008D1DD1">
              <w:t>MCenter</w:t>
            </w:r>
            <w:proofErr w:type="spellEnd"/>
            <w:r w:rsidRPr="008D1DD1">
              <w:t>, upstream of MC5 target</w:t>
            </w:r>
          </w:p>
        </w:tc>
      </w:tr>
      <w:tr w:rsidR="000375BB" w:rsidRPr="008D1DD1" w:rsidTr="00037959">
        <w:tc>
          <w:tcPr>
            <w:tcW w:w="1255" w:type="dxa"/>
          </w:tcPr>
          <w:p w:rsidR="000375BB" w:rsidRPr="008D1DD1" w:rsidRDefault="000375BB" w:rsidP="000375BB">
            <w:r>
              <w:t>420</w:t>
            </w:r>
          </w:p>
        </w:tc>
        <w:tc>
          <w:tcPr>
            <w:tcW w:w="1170" w:type="dxa"/>
          </w:tcPr>
          <w:p w:rsidR="000375BB" w:rsidRPr="008D1DD1" w:rsidRDefault="000375BB" w:rsidP="000375BB">
            <w:r w:rsidRPr="008D1DD1">
              <w:t>SEM</w:t>
            </w:r>
          </w:p>
        </w:tc>
        <w:tc>
          <w:tcPr>
            <w:tcW w:w="1710" w:type="dxa"/>
          </w:tcPr>
          <w:p w:rsidR="000375BB" w:rsidRPr="008D1DD1" w:rsidRDefault="000375BB" w:rsidP="000375BB">
            <w:r w:rsidRPr="008D1DD1">
              <w:t>EncG2</w:t>
            </w:r>
          </w:p>
        </w:tc>
        <w:tc>
          <w:tcPr>
            <w:tcW w:w="5215" w:type="dxa"/>
          </w:tcPr>
          <w:p w:rsidR="000375BB" w:rsidRPr="008D1DD1" w:rsidRDefault="000375BB" w:rsidP="000375BB">
            <w:r w:rsidRPr="008D1DD1">
              <w:t>NM line</w:t>
            </w:r>
          </w:p>
        </w:tc>
      </w:tr>
      <w:tr w:rsidR="000375BB" w:rsidRPr="008D1DD1" w:rsidTr="00037959">
        <w:tc>
          <w:tcPr>
            <w:tcW w:w="1255" w:type="dxa"/>
          </w:tcPr>
          <w:p w:rsidR="000375BB" w:rsidRPr="008D1DD1" w:rsidRDefault="000375BB" w:rsidP="000375BB">
            <w:r>
              <w:t>NM3</w:t>
            </w:r>
          </w:p>
        </w:tc>
        <w:tc>
          <w:tcPr>
            <w:tcW w:w="1170" w:type="dxa"/>
          </w:tcPr>
          <w:p w:rsidR="000375BB" w:rsidRPr="008D1DD1" w:rsidRDefault="000375BB" w:rsidP="000375BB">
            <w:r w:rsidRPr="008D1DD1">
              <w:t>SEM</w:t>
            </w:r>
          </w:p>
        </w:tc>
        <w:tc>
          <w:tcPr>
            <w:tcW w:w="1710" w:type="dxa"/>
          </w:tcPr>
          <w:p w:rsidR="000375BB" w:rsidRPr="008D1DD1" w:rsidRDefault="000375BB" w:rsidP="000375BB">
            <w:r w:rsidRPr="008D1DD1">
              <w:t>NM3</w:t>
            </w:r>
          </w:p>
        </w:tc>
        <w:tc>
          <w:tcPr>
            <w:tcW w:w="5215" w:type="dxa"/>
          </w:tcPr>
          <w:p w:rsidR="000375BB" w:rsidRPr="008D1DD1" w:rsidRDefault="000375BB" w:rsidP="000375BB">
            <w:r w:rsidRPr="008D1DD1">
              <w:t>upstream of target</w:t>
            </w:r>
          </w:p>
        </w:tc>
      </w:tr>
    </w:tbl>
    <w:p w:rsidR="00157274" w:rsidRDefault="00157274"/>
    <w:tbl>
      <w:tblPr>
        <w:tblStyle w:val="TableGrid"/>
        <w:tblW w:w="0" w:type="auto"/>
        <w:tblLook w:val="04A0" w:firstRow="1" w:lastRow="0" w:firstColumn="1" w:lastColumn="0" w:noHBand="0" w:noVBand="1"/>
      </w:tblPr>
      <w:tblGrid>
        <w:gridCol w:w="4675"/>
        <w:gridCol w:w="4675"/>
      </w:tblGrid>
      <w:tr w:rsidR="008D1DD1" w:rsidRPr="008D1DD1" w:rsidTr="008D1DD1">
        <w:tc>
          <w:tcPr>
            <w:tcW w:w="4675" w:type="dxa"/>
          </w:tcPr>
          <w:p w:rsidR="008D1DD1" w:rsidRPr="008D1DD1" w:rsidRDefault="008D1DD1" w:rsidP="00770755">
            <w:r w:rsidRPr="008D1DD1">
              <w:lastRenderedPageBreak/>
              <w:t>Legend</w:t>
            </w:r>
          </w:p>
        </w:tc>
        <w:tc>
          <w:tcPr>
            <w:tcW w:w="4675" w:type="dxa"/>
          </w:tcPr>
          <w:p w:rsidR="008D1DD1" w:rsidRPr="008D1DD1" w:rsidRDefault="008D1DD1" w:rsidP="00770755"/>
        </w:tc>
      </w:tr>
      <w:tr w:rsidR="008D1DD1" w:rsidRPr="008D1DD1" w:rsidTr="008D1DD1">
        <w:tc>
          <w:tcPr>
            <w:tcW w:w="4675" w:type="dxa"/>
          </w:tcPr>
          <w:p w:rsidR="008D1DD1" w:rsidRPr="008D1DD1" w:rsidRDefault="008D1DD1" w:rsidP="00770755">
            <w:r w:rsidRPr="008D1DD1">
              <w:t>DCCT</w:t>
            </w:r>
          </w:p>
        </w:tc>
        <w:tc>
          <w:tcPr>
            <w:tcW w:w="4675" w:type="dxa"/>
          </w:tcPr>
          <w:p w:rsidR="008D1DD1" w:rsidRPr="008D1DD1" w:rsidRDefault="008D1DD1" w:rsidP="00770755">
            <w:r w:rsidRPr="008D1DD1">
              <w:t>direct current cxxx transducer</w:t>
            </w:r>
          </w:p>
        </w:tc>
      </w:tr>
      <w:tr w:rsidR="008D1DD1" w:rsidRPr="008D1DD1" w:rsidTr="008D1DD1">
        <w:tc>
          <w:tcPr>
            <w:tcW w:w="4675" w:type="dxa"/>
          </w:tcPr>
          <w:p w:rsidR="008D1DD1" w:rsidRPr="008D1DD1" w:rsidRDefault="008D1DD1" w:rsidP="00770755">
            <w:r w:rsidRPr="008D1DD1">
              <w:t>SEM</w:t>
            </w:r>
          </w:p>
        </w:tc>
        <w:tc>
          <w:tcPr>
            <w:tcW w:w="4675" w:type="dxa"/>
          </w:tcPr>
          <w:p w:rsidR="008D1DD1" w:rsidRPr="008D1DD1" w:rsidRDefault="008D1DD1" w:rsidP="00770755">
            <w:r w:rsidRPr="008D1DD1">
              <w:t>secondary emission monitor</w:t>
            </w:r>
          </w:p>
        </w:tc>
      </w:tr>
      <w:tr w:rsidR="008D1DD1" w:rsidRPr="008D1DD1" w:rsidTr="008D1DD1">
        <w:tc>
          <w:tcPr>
            <w:tcW w:w="4675" w:type="dxa"/>
          </w:tcPr>
          <w:p w:rsidR="008D1DD1" w:rsidRPr="008D1DD1" w:rsidRDefault="008D1DD1" w:rsidP="00770755">
            <w:r w:rsidRPr="008D1DD1">
              <w:t>SEMA</w:t>
            </w:r>
          </w:p>
        </w:tc>
        <w:tc>
          <w:tcPr>
            <w:tcW w:w="4675" w:type="dxa"/>
          </w:tcPr>
          <w:p w:rsidR="008D1DD1" w:rsidRPr="008D1DD1" w:rsidRDefault="008D1DD1" w:rsidP="00770755">
            <w:r w:rsidRPr="008D1DD1">
              <w:t>Alvarez SEM</w:t>
            </w:r>
          </w:p>
        </w:tc>
      </w:tr>
      <w:tr w:rsidR="008D1DD1" w:rsidRPr="008D1DD1" w:rsidTr="008D1DD1">
        <w:tc>
          <w:tcPr>
            <w:tcW w:w="4675" w:type="dxa"/>
          </w:tcPr>
          <w:p w:rsidR="008D1DD1" w:rsidRPr="008D1DD1" w:rsidRDefault="008D1DD1" w:rsidP="00770755">
            <w:r w:rsidRPr="008D1DD1">
              <w:t>IC</w:t>
            </w:r>
          </w:p>
        </w:tc>
        <w:tc>
          <w:tcPr>
            <w:tcW w:w="4675" w:type="dxa"/>
          </w:tcPr>
          <w:p w:rsidR="008D1DD1" w:rsidRPr="008D1DD1" w:rsidRDefault="008D1DD1" w:rsidP="00770755">
            <w:r w:rsidRPr="008D1DD1">
              <w:t>ion chamber</w:t>
            </w:r>
          </w:p>
        </w:tc>
      </w:tr>
      <w:tr w:rsidR="008D1DD1" w:rsidTr="008D1DD1">
        <w:tc>
          <w:tcPr>
            <w:tcW w:w="4675" w:type="dxa"/>
          </w:tcPr>
          <w:p w:rsidR="008D1DD1" w:rsidRPr="008D1DD1" w:rsidRDefault="008D1DD1" w:rsidP="00770755">
            <w:r w:rsidRPr="008D1DD1">
              <w:t>SC</w:t>
            </w:r>
          </w:p>
        </w:tc>
        <w:tc>
          <w:tcPr>
            <w:tcW w:w="4675" w:type="dxa"/>
          </w:tcPr>
          <w:p w:rsidR="008D1DD1" w:rsidRDefault="008D1DD1" w:rsidP="00770755">
            <w:r w:rsidRPr="008D1DD1">
              <w:t>scintil</w:t>
            </w:r>
            <w:r w:rsidR="000375BB">
              <w:t>l</w:t>
            </w:r>
            <w:r w:rsidRPr="008D1DD1">
              <w:t>ator</w:t>
            </w:r>
          </w:p>
        </w:tc>
      </w:tr>
    </w:tbl>
    <w:p w:rsidR="00157274" w:rsidRDefault="00157274" w:rsidP="008D1DD1"/>
    <w:p w:rsidR="008D1DD1" w:rsidRDefault="008D1DD1" w:rsidP="008D1DD1">
      <w:r w:rsidRPr="008D1DD1">
        <w:rPr>
          <w:noProof/>
        </w:rPr>
        <w:drawing>
          <wp:inline distT="0" distB="0" distL="0" distR="0">
            <wp:extent cx="3438525" cy="412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4124325"/>
                    </a:xfrm>
                    <a:prstGeom prst="rect">
                      <a:avLst/>
                    </a:prstGeom>
                    <a:noFill/>
                    <a:ln>
                      <a:noFill/>
                    </a:ln>
                  </pic:spPr>
                </pic:pic>
              </a:graphicData>
            </a:graphic>
          </wp:inline>
        </w:drawing>
      </w:r>
      <w:r>
        <w:t>Figure 1</w:t>
      </w:r>
    </w:p>
    <w:p w:rsidR="008D1DD1" w:rsidRDefault="008D1DD1" w:rsidP="008D1DD1"/>
    <w:p w:rsidR="008D1DD1" w:rsidRDefault="002D59C1" w:rsidP="008D1DD1">
      <w:r w:rsidRPr="002D59C1">
        <w:rPr>
          <w:noProof/>
        </w:rPr>
        <w:lastRenderedPageBreak/>
        <w:drawing>
          <wp:inline distT="0" distB="0" distL="0" distR="0">
            <wp:extent cx="5886450" cy="254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2543175"/>
                    </a:xfrm>
                    <a:prstGeom prst="rect">
                      <a:avLst/>
                    </a:prstGeom>
                    <a:noFill/>
                    <a:ln>
                      <a:noFill/>
                    </a:ln>
                  </pic:spPr>
                </pic:pic>
              </a:graphicData>
            </a:graphic>
          </wp:inline>
        </w:drawing>
      </w:r>
    </w:p>
    <w:p w:rsidR="008D1DD1" w:rsidRDefault="008D1DD1" w:rsidP="008D1DD1">
      <w:r>
        <w:t>Figure 2</w:t>
      </w:r>
    </w:p>
    <w:sectPr w:rsidR="008D1D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2C0" w:rsidRDefault="00B912C0" w:rsidP="00B912C0">
      <w:pPr>
        <w:spacing w:after="0" w:line="240" w:lineRule="auto"/>
      </w:pPr>
      <w:r>
        <w:separator/>
      </w:r>
    </w:p>
  </w:endnote>
  <w:endnote w:type="continuationSeparator" w:id="0">
    <w:p w:rsidR="00B912C0" w:rsidRDefault="00B912C0" w:rsidP="00B9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44" w:rsidRDefault="002E7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568" w:rsidRDefault="009E756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2E7444">
      <w:rPr>
        <w:caps/>
        <w:noProof/>
        <w:color w:val="4472C4" w:themeColor="accent1"/>
      </w:rPr>
      <w:t>1</w:t>
    </w:r>
    <w:r>
      <w:rPr>
        <w:caps/>
        <w:noProof/>
        <w:color w:val="4472C4" w:themeColor="accent1"/>
      </w:rPr>
      <w:fldChar w:fldCharType="end"/>
    </w:r>
  </w:p>
  <w:p w:rsidR="00B912C0" w:rsidRDefault="00B912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44" w:rsidRDefault="002E7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2C0" w:rsidRDefault="00B912C0" w:rsidP="00B912C0">
      <w:pPr>
        <w:spacing w:after="0" w:line="240" w:lineRule="auto"/>
      </w:pPr>
      <w:r>
        <w:separator/>
      </w:r>
    </w:p>
  </w:footnote>
  <w:footnote w:type="continuationSeparator" w:id="0">
    <w:p w:rsidR="00B912C0" w:rsidRDefault="00B912C0" w:rsidP="00B91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44" w:rsidRDefault="002E7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C0" w:rsidRDefault="00B912C0">
    <w:pPr>
      <w:pStyle w:val="Header"/>
    </w:pPr>
    <w:r>
      <w:ptab w:relativeTo="margin" w:alignment="center" w:leader="none"/>
    </w:r>
    <w:bookmarkStart w:id="0" w:name="_GoBack"/>
    <w:bookmarkEnd w:id="0"/>
    <w:r>
      <w:ptab w:relativeTo="margin" w:alignment="right" w:leader="none"/>
    </w:r>
    <w:proofErr w:type="spellStart"/>
    <w:r>
      <w:t>DocDB</w:t>
    </w:r>
    <w:proofErr w:type="spellEnd"/>
    <w:r>
      <w:t xml:space="preserve"> 6023-v1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44" w:rsidRDefault="002E74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52"/>
    <w:rsid w:val="000375BB"/>
    <w:rsid w:val="00037959"/>
    <w:rsid w:val="00067152"/>
    <w:rsid w:val="000F5E89"/>
    <w:rsid w:val="00157274"/>
    <w:rsid w:val="002D59C1"/>
    <w:rsid w:val="002E7444"/>
    <w:rsid w:val="0044294A"/>
    <w:rsid w:val="0057196D"/>
    <w:rsid w:val="00664C8E"/>
    <w:rsid w:val="008A43EC"/>
    <w:rsid w:val="008B2E60"/>
    <w:rsid w:val="008D1DD1"/>
    <w:rsid w:val="00915601"/>
    <w:rsid w:val="009E7568"/>
    <w:rsid w:val="00A80D09"/>
    <w:rsid w:val="00B7040E"/>
    <w:rsid w:val="00B912C0"/>
    <w:rsid w:val="00C65F2D"/>
    <w:rsid w:val="00D41997"/>
    <w:rsid w:val="00E70C2A"/>
    <w:rsid w:val="00EA32D9"/>
    <w:rsid w:val="00EC2C35"/>
    <w:rsid w:val="00FD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E5FC"/>
  <w15:chartTrackingRefBased/>
  <w15:docId w15:val="{623F1410-9146-40F9-B12A-E4926795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4C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64C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C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4C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4C8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64C8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1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2C0"/>
  </w:style>
  <w:style w:type="paragraph" w:styleId="Footer">
    <w:name w:val="footer"/>
    <w:basedOn w:val="Normal"/>
    <w:link w:val="FooterChar"/>
    <w:uiPriority w:val="99"/>
    <w:unhideWhenUsed/>
    <w:rsid w:val="00B91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03196-A26B-4E8E-9FE7-72A76389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 Kobilarcik</dc:creator>
  <cp:keywords/>
  <dc:description/>
  <cp:lastModifiedBy>Thomas R Kobilarcik</cp:lastModifiedBy>
  <cp:revision>19</cp:revision>
  <dcterms:created xsi:type="dcterms:W3CDTF">2018-01-09T14:58:00Z</dcterms:created>
  <dcterms:modified xsi:type="dcterms:W3CDTF">2018-01-12T18:45:00Z</dcterms:modified>
</cp:coreProperties>
</file>