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8" w:rsidRDefault="00546AB4" w:rsidP="00817B94">
      <w:pPr>
        <w:pStyle w:val="Title"/>
      </w:pPr>
      <w:r>
        <w:t>The LHC</w:t>
      </w:r>
      <w:r w:rsidR="00817B94">
        <w:t xml:space="preserve"> Super-Table</w:t>
      </w:r>
      <w:r w:rsidR="00D25BC0">
        <w:t xml:space="preserve"> Project</w:t>
      </w:r>
    </w:p>
    <w:p w:rsidR="00B73D87" w:rsidRDefault="00B73D87" w:rsidP="00817B94">
      <w:pPr>
        <w:spacing w:line="240" w:lineRule="auto"/>
        <w:jc w:val="right"/>
      </w:pPr>
    </w:p>
    <w:p w:rsidR="00817B94" w:rsidRDefault="00817B94" w:rsidP="00817B94">
      <w:pPr>
        <w:spacing w:line="240" w:lineRule="auto"/>
        <w:jc w:val="right"/>
      </w:pPr>
      <w:r>
        <w:t>Elliott McCrory, LAFS</w:t>
      </w:r>
    </w:p>
    <w:p w:rsidR="00817B94" w:rsidRDefault="0031767B" w:rsidP="00817B94">
      <w:pPr>
        <w:spacing w:line="240" w:lineRule="auto"/>
        <w:jc w:val="right"/>
      </w:pPr>
      <w:r>
        <w:t>1</w:t>
      </w:r>
      <w:r w:rsidR="00A84C32">
        <w:t>7</w:t>
      </w:r>
      <w:r w:rsidR="00817B94">
        <w:t xml:space="preserve"> June 2010</w:t>
      </w:r>
    </w:p>
    <w:p w:rsidR="00B73D87" w:rsidRDefault="00B73D87"/>
    <w:p w:rsidR="00817B94" w:rsidRDefault="0031767B">
      <w:r>
        <w:t>I</w:t>
      </w:r>
      <w:r w:rsidR="00817B94">
        <w:t xml:space="preserve">t is important to benefit from the experience at </w:t>
      </w:r>
      <w:proofErr w:type="spellStart"/>
      <w:r w:rsidR="00817B94">
        <w:t>Fermilab’s</w:t>
      </w:r>
      <w:proofErr w:type="spellEnd"/>
      <w:r w:rsidR="00817B94">
        <w:t xml:space="preserve"> Tevatron</w:t>
      </w:r>
      <w:r>
        <w:t xml:space="preserve"> in developing a Super-Table for the LHC</w:t>
      </w:r>
      <w:r w:rsidR="00817B94">
        <w:t>.</w:t>
      </w:r>
      <w:r w:rsidR="003940DE">
        <w:t xml:space="preserve">  We outline the goals and the basic requirements fo</w:t>
      </w:r>
      <w:r w:rsidR="00546AB4">
        <w:t>r this project, and then break the project</w:t>
      </w:r>
      <w:r w:rsidR="003940DE">
        <w:t xml:space="preserve"> into sub-tasks.</w:t>
      </w:r>
    </w:p>
    <w:p w:rsidR="006849D0" w:rsidRDefault="006849D0" w:rsidP="006849D0">
      <w:r>
        <w:t xml:space="preserve">Please refer to the document “Collider Super-Table for a Modern </w:t>
      </w:r>
      <w:proofErr w:type="spellStart"/>
      <w:r>
        <w:t>Hadron</w:t>
      </w:r>
      <w:proofErr w:type="spellEnd"/>
      <w:r>
        <w:t xml:space="preserve"> Collider”, by Dave McGinnis; September 5, 2008</w:t>
      </w:r>
    </w:p>
    <w:p w:rsidR="00D2406E" w:rsidRDefault="00D2406E" w:rsidP="00D2406E">
      <w:pPr>
        <w:pStyle w:val="Heading1"/>
      </w:pPr>
      <w:r>
        <w:t>Goals</w:t>
      </w:r>
    </w:p>
    <w:p w:rsidR="00817B94" w:rsidRDefault="005B140E">
      <w:r>
        <w:t>We believe that</w:t>
      </w:r>
      <w:r w:rsidR="003940DE">
        <w:t xml:space="preserve"> t</w:t>
      </w:r>
      <w:r w:rsidR="00817B94">
        <w:t xml:space="preserve">he basic goals of </w:t>
      </w:r>
      <w:r w:rsidR="003940DE">
        <w:t>an LHC</w:t>
      </w:r>
      <w:r w:rsidR="00817B94">
        <w:t xml:space="preserve"> Super-Table are</w:t>
      </w:r>
    </w:p>
    <w:p w:rsidR="00817B94" w:rsidRDefault="00817B94" w:rsidP="00817B94">
      <w:pPr>
        <w:pStyle w:val="ListParagraph"/>
        <w:numPr>
          <w:ilvl w:val="0"/>
          <w:numId w:val="1"/>
        </w:numPr>
      </w:pPr>
      <w:r>
        <w:t xml:space="preserve">Provide a summary of the key parameters that detail the performance of the </w:t>
      </w:r>
      <w:r w:rsidR="003940DE">
        <w:t>LHC</w:t>
      </w:r>
      <w:r>
        <w:t>.</w:t>
      </w:r>
    </w:p>
    <w:p w:rsidR="00817B94" w:rsidRDefault="00817B94" w:rsidP="00817B94">
      <w:pPr>
        <w:pStyle w:val="ListParagraph"/>
        <w:numPr>
          <w:ilvl w:val="0"/>
          <w:numId w:val="1"/>
        </w:numPr>
      </w:pPr>
      <w:r>
        <w:t>Provide a concrete mechanism for determining these key parameters on which everyone can agree (or, at least, through which the parties that disagree can have a basis for their argument).</w:t>
      </w:r>
    </w:p>
    <w:p w:rsidR="00817B94" w:rsidRDefault="006B38B8" w:rsidP="00817B94">
      <w:pPr>
        <w:pStyle w:val="ListParagraph"/>
        <w:numPr>
          <w:ilvl w:val="0"/>
          <w:numId w:val="1"/>
        </w:numPr>
      </w:pPr>
      <w:r>
        <w:t xml:space="preserve">The Super-Table is available in forms that everyone understands: Web pages and spreadsheets.  </w:t>
      </w:r>
    </w:p>
    <w:p w:rsidR="005B140E" w:rsidRDefault="005B140E" w:rsidP="00817B94">
      <w:pPr>
        <w:pStyle w:val="ListParagraph"/>
        <w:numPr>
          <w:ilvl w:val="0"/>
          <w:numId w:val="1"/>
        </w:numPr>
      </w:pPr>
      <w:r>
        <w:t>The Super-Table should be small.</w:t>
      </w:r>
    </w:p>
    <w:p w:rsidR="0031767B" w:rsidRDefault="0031767B" w:rsidP="0031767B">
      <w:pPr>
        <w:pStyle w:val="Heading3"/>
      </w:pPr>
      <w:r>
        <w:t>Comments on these goals</w:t>
      </w:r>
    </w:p>
    <w:p w:rsidR="0031767B" w:rsidRDefault="0031767B" w:rsidP="0031767B">
      <w:r>
        <w:t>We suggest that the</w:t>
      </w:r>
      <w:r w:rsidR="009D6FEB">
        <w:t xml:space="preserve"> important</w:t>
      </w:r>
      <w:r>
        <w:t xml:space="preserve"> “Key Parameters” for the LHC be </w:t>
      </w:r>
      <w:r w:rsidR="009D6FEB">
        <w:t>only those</w:t>
      </w:r>
      <w:r>
        <w:t xml:space="preserve"> that directly im</w:t>
      </w:r>
      <w:r w:rsidR="009D6FEB">
        <w:t>pact</w:t>
      </w:r>
      <w:r>
        <w:t xml:space="preserve"> the delivered luminosity</w:t>
      </w:r>
      <w:r w:rsidR="009D6FEB">
        <w:t xml:space="preserve"> or that delineate a description of the fill.  Th</w:t>
      </w:r>
      <w:r>
        <w:t xml:space="preserve">e </w:t>
      </w:r>
      <w:r w:rsidR="009D6FEB">
        <w:t>former is</w:t>
      </w:r>
      <w:r>
        <w:t xml:space="preserve"> the intensities and the emittances</w:t>
      </w:r>
      <w:r w:rsidR="009D6FEB">
        <w:t>; the latter is things like the time stamps of the fill and the fill pattern</w:t>
      </w:r>
      <w:r>
        <w:t>.</w:t>
      </w:r>
      <w:r w:rsidR="00B251CE">
        <w:t xml:space="preserve"> Goal n</w:t>
      </w:r>
      <w:r w:rsidR="00B251CE" w:rsidRPr="0031767B">
        <w:rPr>
          <w:vertAlign w:val="superscript"/>
        </w:rPr>
        <w:t>o</w:t>
      </w:r>
      <w:r w:rsidR="00B251CE">
        <w:t xml:space="preserve"> 4 should be kept in mind when contemplating the addition of new parameters.</w:t>
      </w:r>
    </w:p>
    <w:p w:rsidR="0031767B" w:rsidRDefault="0031767B" w:rsidP="0031767B">
      <w:r>
        <w:t xml:space="preserve">The existence and acceptance of a </w:t>
      </w:r>
      <w:r w:rsidRPr="00C71E39">
        <w:rPr>
          <w:i/>
        </w:rPr>
        <w:t>unique</w:t>
      </w:r>
      <w:r>
        <w:t xml:space="preserve"> Super-Table satisfies goal n</w:t>
      </w:r>
      <w:r w:rsidRPr="0031767B">
        <w:rPr>
          <w:vertAlign w:val="superscript"/>
        </w:rPr>
        <w:t>o</w:t>
      </w:r>
      <w:r>
        <w:t xml:space="preserve"> 2.</w:t>
      </w:r>
    </w:p>
    <w:p w:rsidR="00B73D87" w:rsidRDefault="00B73D87" w:rsidP="0031767B">
      <w:r>
        <w:t>N</w:t>
      </w:r>
      <w:r w:rsidRPr="00B73D87">
        <w:rPr>
          <w:vertAlign w:val="superscript"/>
        </w:rPr>
        <w:t>o</w:t>
      </w:r>
      <w:r>
        <w:t xml:space="preserve"> 3: At Fermilab, we also provide:</w:t>
      </w:r>
    </w:p>
    <w:p w:rsidR="00B73D87" w:rsidRDefault="00B73D87" w:rsidP="00B73D87">
      <w:pPr>
        <w:pStyle w:val="ListParagraph"/>
        <w:numPr>
          <w:ilvl w:val="0"/>
          <w:numId w:val="8"/>
        </w:numPr>
      </w:pPr>
      <w:r>
        <w:t xml:space="preserve">An AIDA interface to the Super-Table, and </w:t>
      </w:r>
    </w:p>
    <w:p w:rsidR="00B73D87" w:rsidRDefault="00B73D87" w:rsidP="00B73D87">
      <w:pPr>
        <w:pStyle w:val="ListParagraph"/>
        <w:numPr>
          <w:ilvl w:val="0"/>
          <w:numId w:val="8"/>
        </w:numPr>
      </w:pPr>
      <w:r>
        <w:t>A GUI that accesses the Super-Table database to make scatter plots from these data.</w:t>
      </w:r>
    </w:p>
    <w:p w:rsidR="0031767B" w:rsidRPr="0031767B" w:rsidRDefault="0031767B" w:rsidP="0031767B">
      <w:pPr>
        <w:pStyle w:val="Heading2"/>
      </w:pPr>
      <w:r>
        <w:t>Secondary Goals</w:t>
      </w:r>
    </w:p>
    <w:p w:rsidR="00D2406E" w:rsidRDefault="005B140E" w:rsidP="00D2406E">
      <w:r>
        <w:t xml:space="preserve">Secondary goals, which </w:t>
      </w:r>
      <w:r w:rsidR="009C68F9">
        <w:t>have proven to be very useful</w:t>
      </w:r>
      <w:r>
        <w:t>,</w:t>
      </w:r>
      <w:r w:rsidR="009C68F9">
        <w:t xml:space="preserve"> are,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Each Super-Table cell is calculated from data in existing databases.  In other words, the Super-Table does not </w:t>
      </w:r>
      <w:r w:rsidR="003940DE">
        <w:t>collect</w:t>
      </w:r>
      <w:r>
        <w:t xml:space="preserve"> live data. </w:t>
      </w:r>
    </w:p>
    <w:p w:rsidR="0010383D" w:rsidRDefault="009C68F9" w:rsidP="009C68F9">
      <w:pPr>
        <w:pStyle w:val="ListParagraph"/>
        <w:numPr>
          <w:ilvl w:val="0"/>
          <w:numId w:val="3"/>
        </w:numPr>
      </w:pPr>
      <w:r>
        <w:lastRenderedPageBreak/>
        <w:t>The algorithm for calculating a cell changes from time to time</w:t>
      </w:r>
      <w:r w:rsidR="003940DE">
        <w:t>, so the implementation of these algorithms must be flexible</w:t>
      </w:r>
      <w:r>
        <w:t xml:space="preserve">.  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When an algorithm changes, it </w:t>
      </w:r>
      <w:r w:rsidR="001F6AF7">
        <w:t>is</w:t>
      </w:r>
      <w:r>
        <w:t xml:space="preserve"> necessary to recalculate this cell for </w:t>
      </w:r>
      <w:r w:rsidR="0010383D">
        <w:t>old fills.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Columns will be added </w:t>
      </w:r>
      <w:r w:rsidR="0010383D">
        <w:t xml:space="preserve">to </w:t>
      </w:r>
      <w:r>
        <w:t>and removed from the Super-Table</w:t>
      </w:r>
    </w:p>
    <w:p w:rsidR="00B251CE" w:rsidRPr="00B251CE" w:rsidRDefault="00B251CE" w:rsidP="00B251CE">
      <w:r>
        <w:t>Footnote to n</w:t>
      </w:r>
      <w:r w:rsidRPr="0031767B">
        <w:rPr>
          <w:vertAlign w:val="superscript"/>
        </w:rPr>
        <w:t>o</w:t>
      </w:r>
      <w:r>
        <w:t xml:space="preserve"> 2: By “algorithm,” we mean the general </w:t>
      </w:r>
      <w:r w:rsidR="00B73D87">
        <w:t>way to calculate</w:t>
      </w:r>
      <w:r>
        <w:t xml:space="preserve"> the content of a cell.  This can be as simple as the fill number</w:t>
      </w:r>
      <w:r w:rsidR="00B73D87">
        <w:t xml:space="preserve"> </w:t>
      </w:r>
      <w:r w:rsidR="00C71E39">
        <w:t>or a parameter’s exact value from</w:t>
      </w:r>
      <w:r w:rsidR="00B73D87">
        <w:t xml:space="preserve"> the logging database,</w:t>
      </w:r>
      <w:r>
        <w:t xml:space="preserve"> and as complicated as the calculation of the luminosity lifetime, based on the raw luminosity data (i.e., performing </w:t>
      </w:r>
      <w:r w:rsidR="00C71E39">
        <w:t>a</w:t>
      </w:r>
      <w:r>
        <w:t xml:space="preserve"> decay fit).</w:t>
      </w:r>
    </w:p>
    <w:p w:rsidR="0031767B" w:rsidRDefault="0031767B" w:rsidP="0031767B">
      <w:r>
        <w:t xml:space="preserve">We will comment </w:t>
      </w:r>
      <w:r w:rsidR="00B251CE">
        <w:t xml:space="preserve">further </w:t>
      </w:r>
      <w:r>
        <w:t>on these secondary goals in the remainder of this memo.</w:t>
      </w:r>
    </w:p>
    <w:p w:rsidR="00546AB4" w:rsidRDefault="00546AB4" w:rsidP="00546AB4">
      <w:pPr>
        <w:pStyle w:val="Heading1"/>
      </w:pPr>
      <w:r>
        <w:t>The View from Fermilab</w:t>
      </w:r>
    </w:p>
    <w:p w:rsidR="006849D0" w:rsidRPr="006849D0" w:rsidRDefault="006849D0" w:rsidP="006849D0">
      <w:r>
        <w:t>We hope to be able to convey our experience to LHC Operations so that the LHC Super-Table is the best it can be.</w:t>
      </w:r>
    </w:p>
    <w:p w:rsidR="00D45C04" w:rsidRDefault="00D45C04" w:rsidP="00546AB4">
      <w:pPr>
        <w:pStyle w:val="Heading2"/>
      </w:pPr>
      <w:r>
        <w:t>Some Fermilab Implementation Concepts</w:t>
      </w:r>
    </w:p>
    <w:p w:rsidR="00D45C04" w:rsidRDefault="00D45C04" w:rsidP="003940DE">
      <w:r>
        <w:t>The Tevatron Super-Table project has developed into these separate</w:t>
      </w:r>
      <w:r w:rsidR="006849D0">
        <w:t xml:space="preserve"> and distinct</w:t>
      </w:r>
      <w:r>
        <w:t xml:space="preserve"> projects:</w:t>
      </w:r>
    </w:p>
    <w:p w:rsidR="00D45C04" w:rsidRDefault="00D45C04" w:rsidP="003940DE">
      <w:pPr>
        <w:pStyle w:val="ListParagraph"/>
        <w:numPr>
          <w:ilvl w:val="0"/>
          <w:numId w:val="4"/>
        </w:numPr>
      </w:pPr>
      <w:r w:rsidRPr="003940DE">
        <w:rPr>
          <w:b/>
        </w:rPr>
        <w:t>Sequenced Data Acquisition (SDA).</w:t>
      </w:r>
      <w:r>
        <w:t xml:space="preserve">  This is a </w:t>
      </w:r>
      <w:r w:rsidR="00B73D87">
        <w:t>data acquisition (</w:t>
      </w:r>
      <w:r>
        <w:t>D</w:t>
      </w:r>
      <w:r w:rsidR="006849D0">
        <w:t>AQ</w:t>
      </w:r>
      <w:r w:rsidR="00B73D87">
        <w:t>)</w:t>
      </w:r>
      <w:r w:rsidR="006849D0">
        <w:t xml:space="preserve"> system that is driven by </w:t>
      </w:r>
      <w:r w:rsidR="00B73D87">
        <w:t xml:space="preserve">transitions in the </w:t>
      </w:r>
      <w:r>
        <w:t>Beam Mode (we call them “Cases” and “Sets”) in the Tevatron Collider Complex.  The instructions fo</w:t>
      </w:r>
      <w:r w:rsidR="00741757">
        <w:t xml:space="preserve">r </w:t>
      </w:r>
      <w:r w:rsidR="00B73D87">
        <w:t xml:space="preserve">this </w:t>
      </w:r>
      <w:r w:rsidR="00741757">
        <w:t xml:space="preserve">DAQ </w:t>
      </w:r>
      <w:r>
        <w:t xml:space="preserve">and </w:t>
      </w:r>
      <w:r w:rsidR="00B77C30">
        <w:t xml:space="preserve">for </w:t>
      </w:r>
      <w:r>
        <w:t>the</w:t>
      </w:r>
      <w:r w:rsidR="00741757">
        <w:t xml:space="preserve"> collected</w:t>
      </w:r>
      <w:r>
        <w:t xml:space="preserve"> data are stored in the SDA database.  This is a stand-alone DB that is separate from our Logging databases.  We have several GUI too</w:t>
      </w:r>
      <w:r w:rsidR="006849D0">
        <w:t>ls for dealing with this system, including:</w:t>
      </w:r>
    </w:p>
    <w:p w:rsidR="00D45C04" w:rsidRPr="00B403FC" w:rsidRDefault="006849D0" w:rsidP="00B403FC">
      <w:pPr>
        <w:pStyle w:val="ListParagraph"/>
        <w:numPr>
          <w:ilvl w:val="1"/>
          <w:numId w:val="4"/>
        </w:numPr>
      </w:pPr>
      <w:r>
        <w:t>Managing</w:t>
      </w:r>
      <w:r w:rsidR="00D45C04" w:rsidRPr="00B403FC">
        <w:t xml:space="preserve"> the DAQ instructions</w:t>
      </w:r>
    </w:p>
    <w:p w:rsidR="00D45C04" w:rsidRPr="00B403FC" w:rsidRDefault="00D45C04" w:rsidP="00B403FC">
      <w:pPr>
        <w:pStyle w:val="ListParagraph"/>
        <w:numPr>
          <w:ilvl w:val="1"/>
          <w:numId w:val="4"/>
        </w:numPr>
      </w:pPr>
      <w:r w:rsidRPr="00B403FC">
        <w:t>Examining the messages from SDA, especially the errors</w:t>
      </w:r>
    </w:p>
    <w:p w:rsidR="00D45C04" w:rsidRDefault="00D45C04" w:rsidP="00B403FC">
      <w:pPr>
        <w:pStyle w:val="ListParagraph"/>
        <w:numPr>
          <w:ilvl w:val="1"/>
          <w:numId w:val="4"/>
        </w:numPr>
      </w:pPr>
      <w:r w:rsidRPr="00B403FC">
        <w:t xml:space="preserve">Examining the </w:t>
      </w:r>
      <w:r w:rsidR="00741757">
        <w:t>data</w:t>
      </w:r>
    </w:p>
    <w:p w:rsidR="00D45C04" w:rsidRPr="00B403FC" w:rsidRDefault="00D45C04" w:rsidP="00870907">
      <w:pPr>
        <w:ind w:left="720"/>
      </w:pPr>
      <w:r>
        <w:t xml:space="preserve">Web site: </w:t>
      </w:r>
      <w:hyperlink r:id="rId8" w:history="1">
        <w:r>
          <w:rPr>
            <w:rStyle w:val="Hyperlink"/>
          </w:rPr>
          <w:t>http://www-bd.fnal.gov/sda/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Offline SDA Analysis API (OSDA).</w:t>
      </w:r>
      <w:r>
        <w:t xml:space="preserve">  This is </w:t>
      </w:r>
      <w:r w:rsidR="006849D0">
        <w:t>a</w:t>
      </w:r>
      <w:r>
        <w:t xml:space="preserve"> Java API that is the basis for the creation of the Super-Table.  It includes an API into the SDA database, and also a façade for access to the Logging databases.  </w:t>
      </w:r>
      <w:r w:rsidR="00741757">
        <w:t>I</w:t>
      </w:r>
      <w:r>
        <w:t xml:space="preserve">f a scientists needs to analyze SDA </w:t>
      </w:r>
      <w:r w:rsidR="00B77C30">
        <w:t>data</w:t>
      </w:r>
      <w:r>
        <w:t xml:space="preserve"> in new ways, she would write a program using this API.</w:t>
      </w:r>
    </w:p>
    <w:p w:rsidR="00D45C04" w:rsidRDefault="00D45C04" w:rsidP="00870907">
      <w:pPr>
        <w:ind w:left="720"/>
      </w:pPr>
      <w:r w:rsidRPr="005024E8">
        <w:t>API Web site:</w:t>
      </w:r>
      <w:r>
        <w:rPr>
          <w:b/>
        </w:rPr>
        <w:t xml:space="preserve"> </w:t>
      </w:r>
      <w:hyperlink r:id="rId9" w:history="1">
        <w:r>
          <w:rPr>
            <w:rStyle w:val="Hyperlink"/>
          </w:rPr>
          <w:t>http://www-bd.fnal.gov/javadoc/build/api/gov/fnal/controls/applications/osda/package-summary.html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Super-</w:t>
      </w:r>
      <w:r w:rsidRPr="00B403FC">
        <w:rPr>
          <w:b/>
        </w:rPr>
        <w:t>Table</w:t>
      </w:r>
      <w:r>
        <w:t xml:space="preserve">.  There is a Java application that is run at several points in the Collider cycle to populate the Super-Table.  </w:t>
      </w:r>
      <w:r w:rsidR="006849D0">
        <w:t xml:space="preserve">Additionally, </w:t>
      </w:r>
      <w:r>
        <w:t xml:space="preserve">the Super-Table can be recalculated </w:t>
      </w:r>
      <w:r w:rsidR="006849D0">
        <w:t xml:space="preserve">at any time </w:t>
      </w:r>
      <w:r>
        <w:t>(by an authorized individual).</w:t>
      </w:r>
    </w:p>
    <w:p w:rsidR="00D45C04" w:rsidRDefault="00D45C04" w:rsidP="00870907">
      <w:pPr>
        <w:ind w:left="720"/>
      </w:pPr>
      <w:r w:rsidRPr="00870907">
        <w:t>Web site</w:t>
      </w:r>
      <w:r w:rsidR="006849D0">
        <w:t>s</w:t>
      </w:r>
      <w:r w:rsidRPr="00870907">
        <w:t>:</w:t>
      </w:r>
      <w:r>
        <w:t xml:space="preserve"> </w:t>
      </w:r>
      <w:hyperlink r:id="rId10" w:history="1">
        <w:r>
          <w:rPr>
            <w:rStyle w:val="Hyperlink"/>
          </w:rPr>
          <w:t>http://www-bd.fnal.gov/sda/supertable/index_IV.html</w:t>
        </w:r>
      </w:hyperlink>
      <w:r>
        <w:t xml:space="preserve"> and </w:t>
      </w:r>
      <w:hyperlink r:id="rId11" w:history="1">
        <w:r>
          <w:rPr>
            <w:rStyle w:val="Hyperlink"/>
          </w:rPr>
          <w:t>http://www-bd.fnal.gov/SDAMisc/AJAX/STIV.html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Mini-</w:t>
      </w:r>
      <w:r w:rsidRPr="00B403FC">
        <w:rPr>
          <w:b/>
        </w:rPr>
        <w:t>Tables</w:t>
      </w:r>
      <w:r>
        <w:t>.  There exist several other Excel-</w:t>
      </w:r>
      <w:r w:rsidR="00B77C30">
        <w:t>ready</w:t>
      </w:r>
      <w:r>
        <w:t xml:space="preserve"> tables that we call the Mini-Tables.  This name is a bit misleading as these tables usually have information that is more detailed than the Super-Table.  These tables, also derived through the OSDA API, are </w:t>
      </w:r>
      <w:r w:rsidR="006849D0">
        <w:t>specified and used by</w:t>
      </w:r>
      <w:r>
        <w:t xml:space="preserve"> machine experts.</w:t>
      </w:r>
    </w:p>
    <w:p w:rsidR="00D45C04" w:rsidRDefault="00D45C04" w:rsidP="005024E8">
      <w:pPr>
        <w:ind w:left="720"/>
      </w:pPr>
      <w:r w:rsidRPr="005024E8">
        <w:t>Web site</w:t>
      </w:r>
      <w:r w:rsidR="00741757">
        <w:t xml:space="preserve"> (incomplete)</w:t>
      </w:r>
      <w:r w:rsidRPr="005024E8">
        <w:t>:</w:t>
      </w:r>
      <w:r>
        <w:t xml:space="preserve"> </w:t>
      </w:r>
      <w:hyperlink r:id="rId12" w:history="1">
        <w:r>
          <w:rPr>
            <w:rStyle w:val="Hyperlink"/>
          </w:rPr>
          <w:t>http://www-bd.fnal.gov/SDA_Viewer/more_tables.html</w:t>
        </w:r>
      </w:hyperlink>
    </w:p>
    <w:p w:rsidR="00D45C04" w:rsidRDefault="00D45C04" w:rsidP="00546AB4">
      <w:pPr>
        <w:pStyle w:val="Heading2"/>
      </w:pPr>
      <w:r>
        <w:lastRenderedPageBreak/>
        <w:t>Some Lessons Learned</w:t>
      </w:r>
    </w:p>
    <w:p w:rsidR="003744AD" w:rsidRDefault="003744AD" w:rsidP="005B140E">
      <w:r>
        <w:t xml:space="preserve">We learned rather quickly that the contents of the Super-Table, especially </w:t>
      </w:r>
      <w:r w:rsidR="00C71E39">
        <w:t>in the beginning</w:t>
      </w:r>
      <w:r>
        <w:t>, changes frequently.  We quickly settled on a Super-Table database schema that allows the columns to change easily.  We recommend this schema for the LHC Super-Table.</w:t>
      </w:r>
    </w:p>
    <w:p w:rsidR="00D45C04" w:rsidRDefault="00D45C04" w:rsidP="005B140E">
      <w:r>
        <w:t xml:space="preserve">The </w:t>
      </w:r>
      <w:r w:rsidR="00741757">
        <w:t xml:space="preserve">Tevatron Super-Table </w:t>
      </w:r>
      <w:r>
        <w:t>is no longer small.  We recognize this</w:t>
      </w:r>
      <w:r w:rsidR="00C71E39">
        <w:t xml:space="preserve"> and propose</w:t>
      </w:r>
      <w:r>
        <w:t xml:space="preserve"> tha</w:t>
      </w:r>
      <w:r w:rsidR="006849D0">
        <w:t xml:space="preserve">t </w:t>
      </w:r>
      <w:r w:rsidR="00C71E39">
        <w:t>the LHC Super-Table</w:t>
      </w:r>
      <w:r w:rsidR="006849D0">
        <w:t xml:space="preserve"> be hierarchical: Level 1, L</w:t>
      </w:r>
      <w:r>
        <w:t xml:space="preserve">evel 2, etc. </w:t>
      </w:r>
      <w:r w:rsidR="00B77C30">
        <w:t xml:space="preserve"> </w:t>
      </w:r>
      <w:r w:rsidR="003744AD">
        <w:t>We encourage you to keep the LHC Super-Table</w:t>
      </w:r>
      <w:r w:rsidR="00B77C30">
        <w:t xml:space="preserve"> small and focused.</w:t>
      </w:r>
    </w:p>
    <w:p w:rsidR="00407B20" w:rsidRPr="005B140E" w:rsidRDefault="00D45C04" w:rsidP="005B140E">
      <w:r>
        <w:t xml:space="preserve">The </w:t>
      </w:r>
      <w:r w:rsidR="00B77C30">
        <w:t xml:space="preserve">Tevatron Super-Table </w:t>
      </w:r>
      <w:r w:rsidR="001F6AF7">
        <w:t xml:space="preserve">schema has no provision for storing the </w:t>
      </w:r>
      <w:r>
        <w:t>algorithm</w:t>
      </w:r>
      <w:r w:rsidR="00C71E39">
        <w:t>, units or error messages</w:t>
      </w:r>
      <w:r>
        <w:t xml:space="preserve">.  We propose that </w:t>
      </w:r>
      <w:r w:rsidR="00C71E39">
        <w:t xml:space="preserve">these items be included in the </w:t>
      </w:r>
      <w:r w:rsidR="00407B20">
        <w:t>schema.</w:t>
      </w:r>
    </w:p>
    <w:p w:rsidR="00624E14" w:rsidRDefault="00624E14" w:rsidP="00546AB4">
      <w:pPr>
        <w:pStyle w:val="Heading2"/>
      </w:pPr>
      <w:r>
        <w:t xml:space="preserve">Implementation </w:t>
      </w:r>
      <w:r w:rsidR="00546AB4">
        <w:t>Suggestions</w:t>
      </w:r>
    </w:p>
    <w:p w:rsidR="00624E14" w:rsidRDefault="00B251CE" w:rsidP="00624E14">
      <w:r>
        <w:t>W</w:t>
      </w:r>
      <w:r w:rsidR="00741757">
        <w:t>e suggest</w:t>
      </w:r>
      <w:r w:rsidR="00624E14">
        <w:t xml:space="preserve"> the following implementation</w:t>
      </w:r>
      <w:r w:rsidR="00741757">
        <w:t xml:space="preserve"> decisions</w:t>
      </w:r>
      <w:r w:rsidR="00624E14">
        <w:t>:</w:t>
      </w:r>
    </w:p>
    <w:p w:rsidR="00624E14" w:rsidRDefault="00624E14" w:rsidP="00624E14">
      <w:pPr>
        <w:pStyle w:val="ListParagraph"/>
        <w:numPr>
          <w:ilvl w:val="0"/>
          <w:numId w:val="5"/>
        </w:numPr>
      </w:pPr>
      <w:r>
        <w:t xml:space="preserve">Data collection for the Super-Table is separate from the creation of the Super-Table. </w:t>
      </w:r>
    </w:p>
    <w:p w:rsidR="00D45C04" w:rsidRDefault="00D45C04" w:rsidP="00624E14">
      <w:pPr>
        <w:pStyle w:val="ListParagraph"/>
        <w:numPr>
          <w:ilvl w:val="0"/>
          <w:numId w:val="5"/>
        </w:numPr>
      </w:pPr>
      <w:r>
        <w:t xml:space="preserve">The Super-Table creation process </w:t>
      </w:r>
      <w:r w:rsidR="00F80259">
        <w:t>writes</w:t>
      </w:r>
      <w:r>
        <w:t xml:space="preserve"> to a </w:t>
      </w:r>
      <w:r w:rsidR="001F6AF7">
        <w:t>stand-alone</w:t>
      </w:r>
      <w:r w:rsidR="00B251CE">
        <w:t xml:space="preserve"> </w:t>
      </w:r>
      <w:r>
        <w:t>Super-Table database</w:t>
      </w:r>
    </w:p>
    <w:p w:rsidR="00624E14" w:rsidRDefault="00624E14" w:rsidP="00624E14">
      <w:pPr>
        <w:pStyle w:val="ListParagraph"/>
        <w:numPr>
          <w:ilvl w:val="0"/>
          <w:numId w:val="5"/>
        </w:numPr>
      </w:pPr>
      <w:r>
        <w:t xml:space="preserve">The schema for the Super-Table database </w:t>
      </w:r>
      <w:r w:rsidR="00A84C32">
        <w:t>contains several tables, but the table containing the actual data in the Super-Table cells is independent of the column definitions</w:t>
      </w:r>
      <w:r>
        <w:t xml:space="preserve">.  We propose </w:t>
      </w:r>
      <w:r w:rsidR="00B77C30">
        <w:t>a</w:t>
      </w:r>
      <w:r>
        <w:t xml:space="preserve"> </w:t>
      </w:r>
      <w:r w:rsidR="005B140E">
        <w:t xml:space="preserve">simple </w:t>
      </w:r>
      <w:r>
        <w:t>schema</w:t>
      </w:r>
      <w:r w:rsidR="00B77C30">
        <w:t>,</w:t>
      </w:r>
      <w:r>
        <w:t xml:space="preserve"> described in</w:t>
      </w:r>
      <w:r w:rsidR="00A84C32">
        <w:t xml:space="preserve"> “Data Storage Schema for the LHC Super-Table</w:t>
      </w:r>
      <w:r>
        <w:t xml:space="preserve">. </w:t>
      </w:r>
      <w:r w:rsidR="00A84C32">
        <w:t>“</w:t>
      </w:r>
    </w:p>
    <w:p w:rsidR="00096A94" w:rsidRDefault="00624E14" w:rsidP="00624E14">
      <w:pPr>
        <w:pStyle w:val="ListParagraph"/>
        <w:numPr>
          <w:ilvl w:val="0"/>
          <w:numId w:val="5"/>
        </w:numPr>
      </w:pPr>
      <w:r>
        <w:t xml:space="preserve">The mechanics of creating the Super-Table </w:t>
      </w:r>
      <w:r w:rsidR="00096A94">
        <w:t xml:space="preserve">is </w:t>
      </w:r>
      <w:r w:rsidR="00B77C30">
        <w:t>a</w:t>
      </w:r>
      <w:r w:rsidR="00096A94">
        <w:t xml:space="preserve"> Model-View-Controller </w:t>
      </w:r>
      <w:r w:rsidR="001F6AF7">
        <w:t xml:space="preserve">(MVC) </w:t>
      </w:r>
      <w:r w:rsidR="00096A94">
        <w:t>pattern: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Model</w:t>
      </w:r>
      <w:r>
        <w:t xml:space="preserve">: The </w:t>
      </w:r>
      <w:r w:rsidR="00B77C30">
        <w:t>Super-Table d</w:t>
      </w:r>
      <w:r>
        <w:t>atabase</w:t>
      </w:r>
      <w:r w:rsidR="00B77C30">
        <w:t xml:space="preserve"> and I/O with that</w:t>
      </w:r>
      <w:r>
        <w:t xml:space="preserve"> database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View</w:t>
      </w:r>
      <w:r>
        <w:t>: The creation of the web pages and spreadsheet files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Controller</w:t>
      </w:r>
      <w:r>
        <w:t>: Calculating the (new) contents of the cells for a fill or a series of fills.</w:t>
      </w:r>
    </w:p>
    <w:p w:rsidR="00624E14" w:rsidRDefault="00096A94" w:rsidP="00096A94">
      <w:pPr>
        <w:ind w:left="720"/>
      </w:pPr>
      <w:r>
        <w:t xml:space="preserve"> </w:t>
      </w:r>
      <w:r w:rsidR="00624E14">
        <w:t xml:space="preserve">We propose </w:t>
      </w:r>
      <w:r w:rsidR="00B46BCB">
        <w:t>a specific</w:t>
      </w:r>
      <w:r w:rsidR="00624E14">
        <w:t xml:space="preserve"> architecture </w:t>
      </w:r>
      <w:r w:rsidR="001F6AF7">
        <w:t xml:space="preserve">for the Super-Table MVC </w:t>
      </w:r>
      <w:r w:rsidR="00624E14">
        <w:t>in</w:t>
      </w:r>
      <w:r w:rsidR="00A84C32">
        <w:t xml:space="preserve"> “A Proposal for a Framework for Building the LHC Super-Table</w:t>
      </w:r>
      <w:r w:rsidR="00624E14">
        <w:t>.</w:t>
      </w:r>
      <w:r w:rsidR="00A84C32">
        <w:t>”</w:t>
      </w:r>
    </w:p>
    <w:p w:rsidR="00D2406E" w:rsidRDefault="00546AB4" w:rsidP="00D45C04">
      <w:pPr>
        <w:pStyle w:val="Heading1"/>
      </w:pPr>
      <w:r>
        <w:t xml:space="preserve">LHC </w:t>
      </w:r>
      <w:r w:rsidR="00D2406E">
        <w:t>Super-Table</w:t>
      </w:r>
      <w:r>
        <w:t xml:space="preserve"> Projects</w:t>
      </w:r>
    </w:p>
    <w:p w:rsidR="00600840" w:rsidRPr="00600840" w:rsidRDefault="00600840" w:rsidP="00600840">
      <w:r>
        <w:t xml:space="preserve">In our opinion, the Super-Table project can be divided into </w:t>
      </w:r>
      <w:r w:rsidR="003744AD">
        <w:t xml:space="preserve">separate </w:t>
      </w:r>
      <w:r>
        <w:t xml:space="preserve">sub-projects, </w:t>
      </w:r>
      <w:r w:rsidR="001F6AF7">
        <w:t xml:space="preserve">most of which </w:t>
      </w:r>
      <w:r w:rsidR="00B77C30">
        <w:t>are underway</w:t>
      </w:r>
      <w:r>
        <w:t>.</w:t>
      </w:r>
    </w:p>
    <w:p w:rsidR="00D2406E" w:rsidRPr="00D2406E" w:rsidRDefault="00602233" w:rsidP="00D45C04">
      <w:pPr>
        <w:numPr>
          <w:ilvl w:val="0"/>
          <w:numId w:val="2"/>
        </w:numPr>
      </w:pPr>
      <w:r>
        <w:t>Define</w:t>
      </w:r>
      <w:r w:rsidR="00D2406E" w:rsidRPr="00D2406E">
        <w:t xml:space="preserve"> what data should be in the Super-Table</w:t>
      </w:r>
      <w:r w:rsidR="009D0EBD">
        <w:t xml:space="preserve">.  </w:t>
      </w:r>
      <w:r>
        <w:t>Define</w:t>
      </w:r>
      <w:r w:rsidR="00D2406E" w:rsidRPr="00D2406E">
        <w:t xml:space="preserve"> the calculations to transform </w:t>
      </w:r>
      <w:r w:rsidR="00600840">
        <w:t xml:space="preserve">data from </w:t>
      </w:r>
      <w:r w:rsidR="00D2406E" w:rsidRPr="00D2406E">
        <w:t xml:space="preserve">the raw Logging (or Measurement?) DB </w:t>
      </w:r>
      <w:r w:rsidR="00600840">
        <w:t>and Mario’s DB</w:t>
      </w:r>
      <w:r w:rsidR="001F6AF7">
        <w:t xml:space="preserve"> (below)</w:t>
      </w:r>
      <w:r w:rsidR="00600840">
        <w:t xml:space="preserve"> </w:t>
      </w:r>
      <w:r w:rsidR="00D2406E" w:rsidRPr="00D2406E">
        <w:t>into Super-Table data – Mike, Verena and Mario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>Beam Mode-triggered DAQ, with the data stored in the Logging (or Measurement?) DB – Mario.  He has made a fantastic start on this already!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 xml:space="preserve">Retrieving the appropriate data from the </w:t>
      </w:r>
      <w:r w:rsidR="001F6AF7">
        <w:t>available LHC databases</w:t>
      </w:r>
      <w:r w:rsidRPr="00D2406E">
        <w:t xml:space="preserve"> for consumption by the Super-Table process – Mario and Elliott</w:t>
      </w:r>
      <w:r w:rsidR="00546AB4">
        <w:t xml:space="preserve"> [MVC: Model]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 xml:space="preserve">Transforming raw data </w:t>
      </w:r>
      <w:r w:rsidR="00546AB4">
        <w:t xml:space="preserve">from the LHC databases </w:t>
      </w:r>
      <w:r w:rsidRPr="00D2406E">
        <w:t xml:space="preserve">into the Super-Table, and storing these data appropriately – Elliott </w:t>
      </w:r>
      <w:r w:rsidR="00546AB4">
        <w:t>[MVC: Controller]</w:t>
      </w:r>
    </w:p>
    <w:p w:rsidR="00D25BC0" w:rsidRDefault="00D2406E" w:rsidP="00A84C32">
      <w:pPr>
        <w:numPr>
          <w:ilvl w:val="0"/>
          <w:numId w:val="2"/>
        </w:numPr>
      </w:pPr>
      <w:r w:rsidRPr="00D2406E">
        <w:t>Transforming the Super-Table stored data into web pages and Excel-ready files. – Elliott.</w:t>
      </w:r>
      <w:r w:rsidR="00546AB4">
        <w:t xml:space="preserve"> [MVC: View]</w:t>
      </w:r>
      <w:r w:rsidR="00A84C32">
        <w:t xml:space="preserve"> (</w:t>
      </w:r>
      <w:r w:rsidR="003217D8">
        <w:t>There can be</w:t>
      </w:r>
      <w:r w:rsidR="00602233">
        <w:t xml:space="preserve"> other views constructed into the Super-Table data.</w:t>
      </w:r>
      <w:r w:rsidR="00A84C32">
        <w:t>)</w:t>
      </w:r>
    </w:p>
    <w:p w:rsidR="003217D8" w:rsidRDefault="003217D8" w:rsidP="003217D8">
      <w:pPr>
        <w:pStyle w:val="Heading2"/>
      </w:pPr>
      <w:r>
        <w:lastRenderedPageBreak/>
        <w:t>Sub-Project Contracts</w:t>
      </w:r>
    </w:p>
    <w:p w:rsidR="00600840" w:rsidRDefault="009D0EBD" w:rsidP="00600840">
      <w:r>
        <w:t>Here is a summary of the input and output for each of these sub-projects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94"/>
        <w:gridCol w:w="2394"/>
        <w:gridCol w:w="4680"/>
      </w:tblGrid>
      <w:tr w:rsidR="001521D5" w:rsidTr="009D0EBD">
        <w:tc>
          <w:tcPr>
            <w:tcW w:w="2394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Sub-Project</w:t>
            </w:r>
          </w:p>
        </w:tc>
        <w:tc>
          <w:tcPr>
            <w:tcW w:w="2394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Input</w:t>
            </w:r>
            <w:r w:rsidR="009D0EBD" w:rsidRPr="009D0EBD">
              <w:rPr>
                <w:b/>
                <w:spacing w:val="10"/>
              </w:rPr>
              <w:t>s</w:t>
            </w:r>
          </w:p>
        </w:tc>
        <w:tc>
          <w:tcPr>
            <w:tcW w:w="4680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Outputs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Defining Columns</w:t>
            </w:r>
          </w:p>
        </w:tc>
        <w:tc>
          <w:tcPr>
            <w:tcW w:w="2394" w:type="dxa"/>
            <w:vAlign w:val="center"/>
          </w:tcPr>
          <w:p w:rsidR="009D0EBD" w:rsidRDefault="009D0EBD" w:rsidP="009D0EBD">
            <w:r>
              <w:t>Knowledge of the LHC Collider program</w:t>
            </w:r>
          </w:p>
        </w:tc>
        <w:tc>
          <w:tcPr>
            <w:tcW w:w="4680" w:type="dxa"/>
            <w:vAlign w:val="center"/>
          </w:tcPr>
          <w:p w:rsidR="009D0EBD" w:rsidRDefault="009D0EBD" w:rsidP="00C71E39">
            <w:r>
              <w:t>A spreadsheet</w:t>
            </w:r>
            <w:r w:rsidR="00407B20">
              <w:t xml:space="preserve"> (or similar document)</w:t>
            </w:r>
            <w:r>
              <w:t xml:space="preserve"> that contains column names and details on the </w:t>
            </w:r>
            <w:r w:rsidR="00C71E39">
              <w:t xml:space="preserve">data sources and the </w:t>
            </w:r>
            <w:r>
              <w:t>algorithm</w:t>
            </w:r>
            <w:r w:rsidR="00C71E39">
              <w:t>s</w:t>
            </w:r>
            <w:r>
              <w:t xml:space="preserve"> for</w:t>
            </w:r>
            <w:r w:rsidR="00C71E39">
              <w:t xml:space="preserve"> each</w:t>
            </w:r>
            <w:r>
              <w:t xml:space="preserve"> column.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Event-Triggered DAQ</w:t>
            </w:r>
          </w:p>
        </w:tc>
        <w:tc>
          <w:tcPr>
            <w:tcW w:w="2394" w:type="dxa"/>
            <w:vAlign w:val="center"/>
          </w:tcPr>
          <w:p w:rsidR="009D0EBD" w:rsidRDefault="009D0EBD" w:rsidP="009D0EBD">
            <w:r>
              <w:t>Knowledge of the data in the LHC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Event-driven DAQ database table(s)</w:t>
            </w:r>
            <w:r w:rsidR="00407B20">
              <w:t>.  (Logging DB?)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Retrieving Data</w:t>
            </w:r>
          </w:p>
        </w:tc>
        <w:tc>
          <w:tcPr>
            <w:tcW w:w="2394" w:type="dxa"/>
            <w:vAlign w:val="center"/>
          </w:tcPr>
          <w:p w:rsidR="009D0EBD" w:rsidRDefault="00D25BC0" w:rsidP="00D25BC0">
            <w:r>
              <w:t>Sub-</w:t>
            </w:r>
            <w:r w:rsidR="009D0EBD">
              <w:t>Projects 1</w:t>
            </w:r>
            <w:r>
              <w:t xml:space="preserve"> and 2</w:t>
            </w:r>
          </w:p>
        </w:tc>
        <w:tc>
          <w:tcPr>
            <w:tcW w:w="4680" w:type="dxa"/>
            <w:vAlign w:val="center"/>
          </w:tcPr>
          <w:p w:rsidR="009D0EBD" w:rsidRDefault="009D0EBD" w:rsidP="00C71E39">
            <w:r>
              <w:t>A Java API</w:t>
            </w:r>
            <w:r w:rsidR="00C71E39">
              <w:t xml:space="preserve"> </w:t>
            </w:r>
            <w:r>
              <w:t>for accessing these data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Cell Calculations</w:t>
            </w:r>
          </w:p>
        </w:tc>
        <w:tc>
          <w:tcPr>
            <w:tcW w:w="2394" w:type="dxa"/>
            <w:vAlign w:val="center"/>
          </w:tcPr>
          <w:p w:rsidR="009D0EBD" w:rsidRDefault="00D25BC0" w:rsidP="009D0EBD">
            <w:r>
              <w:t>Sub-Project 3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The Super-Table database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Views</w:t>
            </w:r>
          </w:p>
        </w:tc>
        <w:tc>
          <w:tcPr>
            <w:tcW w:w="2394" w:type="dxa"/>
            <w:vAlign w:val="center"/>
          </w:tcPr>
          <w:p w:rsidR="009D0EBD" w:rsidRDefault="00D25BC0" w:rsidP="009D0EBD">
            <w:r>
              <w:t>Sub-Project 4</w:t>
            </w:r>
          </w:p>
        </w:tc>
        <w:tc>
          <w:tcPr>
            <w:tcW w:w="4680" w:type="dxa"/>
            <w:vAlign w:val="center"/>
          </w:tcPr>
          <w:p w:rsidR="009D0EBD" w:rsidRDefault="009D0EBD" w:rsidP="00D25BC0">
            <w:r>
              <w:t>HTML and tab-delimited data files</w:t>
            </w:r>
          </w:p>
        </w:tc>
      </w:tr>
    </w:tbl>
    <w:p w:rsidR="00600840" w:rsidRPr="00D2406E" w:rsidRDefault="00600840" w:rsidP="00600840"/>
    <w:sectPr w:rsidR="00600840" w:rsidRPr="00D2406E" w:rsidSect="00D25BC0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39" w:rsidRDefault="00C71E39" w:rsidP="00F80259">
      <w:pPr>
        <w:spacing w:before="0" w:after="0" w:line="240" w:lineRule="auto"/>
      </w:pPr>
      <w:r>
        <w:separator/>
      </w:r>
    </w:p>
  </w:endnote>
  <w:endnote w:type="continuationSeparator" w:id="0">
    <w:p w:rsidR="00C71E39" w:rsidRDefault="00C71E39" w:rsidP="00F80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39" w:rsidRPr="00F80259" w:rsidRDefault="00C71E39" w:rsidP="00F80259">
    <w:pPr>
      <w:pStyle w:val="Footer"/>
      <w:pBdr>
        <w:top w:val="thinThickSmallGap" w:sz="24" w:space="1" w:color="2A6C7D" w:themeColor="accent1" w:themeShade="BF"/>
      </w:pBdr>
      <w:rPr>
        <w:sz w:val="18"/>
      </w:rPr>
    </w:pPr>
    <w:r w:rsidRPr="00F80259">
      <w:rPr>
        <w:sz w:val="18"/>
      </w:rPr>
      <w:t>LHC Super-Table Ideas</w:t>
    </w:r>
    <w:r w:rsidRPr="00F80259">
      <w:rPr>
        <w:sz w:val="18"/>
      </w:rPr>
      <w:ptab w:relativeTo="margin" w:alignment="right" w:leader="none"/>
    </w:r>
    <w:r w:rsidRPr="00F80259">
      <w:rPr>
        <w:sz w:val="18"/>
      </w:rPr>
      <w:t xml:space="preserve">Page </w:t>
    </w:r>
    <w:r w:rsidRPr="00F80259">
      <w:rPr>
        <w:sz w:val="18"/>
      </w:rPr>
      <w:fldChar w:fldCharType="begin"/>
    </w:r>
    <w:r w:rsidRPr="00F80259">
      <w:rPr>
        <w:sz w:val="18"/>
      </w:rPr>
      <w:instrText xml:space="preserve"> PAGE   \* MERGEFORMAT </w:instrText>
    </w:r>
    <w:r w:rsidRPr="00F80259">
      <w:rPr>
        <w:sz w:val="18"/>
      </w:rPr>
      <w:fldChar w:fldCharType="separate"/>
    </w:r>
    <w:r w:rsidR="00C957DF">
      <w:rPr>
        <w:noProof/>
        <w:sz w:val="18"/>
      </w:rPr>
      <w:t>4</w:t>
    </w:r>
    <w:r w:rsidRPr="00F80259">
      <w:rPr>
        <w:sz w:val="18"/>
      </w:rPr>
      <w:fldChar w:fldCharType="end"/>
    </w:r>
  </w:p>
  <w:p w:rsidR="00C71E39" w:rsidRDefault="00C71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39" w:rsidRDefault="00C71E39" w:rsidP="00F80259">
      <w:pPr>
        <w:spacing w:before="0" w:after="0" w:line="240" w:lineRule="auto"/>
      </w:pPr>
      <w:r>
        <w:separator/>
      </w:r>
    </w:p>
  </w:footnote>
  <w:footnote w:type="continuationSeparator" w:id="0">
    <w:p w:rsidR="00C71E39" w:rsidRDefault="00C71E39" w:rsidP="00F802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ABA"/>
    <w:multiLevelType w:val="hybridMultilevel"/>
    <w:tmpl w:val="270E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008"/>
    <w:multiLevelType w:val="hybridMultilevel"/>
    <w:tmpl w:val="D50C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66D1"/>
    <w:multiLevelType w:val="hybridMultilevel"/>
    <w:tmpl w:val="60C2524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56EB389F"/>
    <w:multiLevelType w:val="hybridMultilevel"/>
    <w:tmpl w:val="BCF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54F"/>
    <w:multiLevelType w:val="hybridMultilevel"/>
    <w:tmpl w:val="F94E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E7E08"/>
    <w:multiLevelType w:val="hybridMultilevel"/>
    <w:tmpl w:val="31BE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22BF1"/>
    <w:multiLevelType w:val="hybridMultilevel"/>
    <w:tmpl w:val="0D6A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A3F"/>
    <w:multiLevelType w:val="hybridMultilevel"/>
    <w:tmpl w:val="C51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B94"/>
    <w:rsid w:val="00096A94"/>
    <w:rsid w:val="0010383D"/>
    <w:rsid w:val="001521D5"/>
    <w:rsid w:val="001F6AF7"/>
    <w:rsid w:val="0031767B"/>
    <w:rsid w:val="003217D8"/>
    <w:rsid w:val="003744AD"/>
    <w:rsid w:val="003940DE"/>
    <w:rsid w:val="00407B20"/>
    <w:rsid w:val="00457B68"/>
    <w:rsid w:val="005024E8"/>
    <w:rsid w:val="00546AB4"/>
    <w:rsid w:val="005A493D"/>
    <w:rsid w:val="005B140E"/>
    <w:rsid w:val="00600840"/>
    <w:rsid w:val="00602233"/>
    <w:rsid w:val="00624E14"/>
    <w:rsid w:val="006849D0"/>
    <w:rsid w:val="006B38B8"/>
    <w:rsid w:val="00741757"/>
    <w:rsid w:val="007523BA"/>
    <w:rsid w:val="00817B94"/>
    <w:rsid w:val="00870907"/>
    <w:rsid w:val="009C68F9"/>
    <w:rsid w:val="009D0EBD"/>
    <w:rsid w:val="009D6FEB"/>
    <w:rsid w:val="00A84C32"/>
    <w:rsid w:val="00AF5B42"/>
    <w:rsid w:val="00B251CE"/>
    <w:rsid w:val="00B403FC"/>
    <w:rsid w:val="00B46BCB"/>
    <w:rsid w:val="00B7249A"/>
    <w:rsid w:val="00B73D87"/>
    <w:rsid w:val="00B77C30"/>
    <w:rsid w:val="00C71E39"/>
    <w:rsid w:val="00C957DF"/>
    <w:rsid w:val="00D2406E"/>
    <w:rsid w:val="00D24231"/>
    <w:rsid w:val="00D25BC0"/>
    <w:rsid w:val="00D45C04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259"/>
    <w:pPr>
      <w:pBdr>
        <w:top w:val="single" w:sz="24" w:space="0" w:color="3891A7" w:themeColor="accent1"/>
        <w:left w:val="single" w:sz="24" w:space="0" w:color="3891A7" w:themeColor="accent1"/>
        <w:bottom w:val="single" w:sz="24" w:space="0" w:color="3891A7" w:themeColor="accent1"/>
        <w:right w:val="single" w:sz="24" w:space="0" w:color="3891A7" w:themeColor="accent1"/>
      </w:pBdr>
      <w:shd w:val="clear" w:color="auto" w:fill="3891A7" w:themeFill="accent1"/>
      <w:spacing w:before="36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B94"/>
    <w:pPr>
      <w:pBdr>
        <w:top w:val="single" w:sz="24" w:space="0" w:color="D3EAF0" w:themeColor="accent1" w:themeTint="33"/>
        <w:left w:val="single" w:sz="24" w:space="0" w:color="D3EAF0" w:themeColor="accent1" w:themeTint="33"/>
        <w:bottom w:val="single" w:sz="24" w:space="0" w:color="D3EAF0" w:themeColor="accent1" w:themeTint="33"/>
        <w:right w:val="single" w:sz="24" w:space="0" w:color="D3EAF0" w:themeColor="accent1" w:themeTint="33"/>
      </w:pBdr>
      <w:shd w:val="clear" w:color="auto" w:fill="D3EA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B94"/>
    <w:pPr>
      <w:pBdr>
        <w:top w:val="single" w:sz="6" w:space="2" w:color="3891A7" w:themeColor="accent1"/>
        <w:left w:val="single" w:sz="6" w:space="2" w:color="3891A7" w:themeColor="accent1"/>
      </w:pBdr>
      <w:spacing w:before="300" w:after="0"/>
      <w:outlineLvl w:val="2"/>
    </w:pPr>
    <w:rPr>
      <w:caps/>
      <w:color w:val="1C48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94"/>
    <w:pPr>
      <w:pBdr>
        <w:top w:val="dotted" w:sz="6" w:space="2" w:color="3891A7" w:themeColor="accent1"/>
        <w:left w:val="dotted" w:sz="6" w:space="2" w:color="3891A7" w:themeColor="accent1"/>
      </w:pBdr>
      <w:spacing w:before="300" w:after="0"/>
      <w:outlineLvl w:val="3"/>
    </w:pPr>
    <w:rPr>
      <w:caps/>
      <w:color w:val="2A6C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94"/>
    <w:pPr>
      <w:pBdr>
        <w:bottom w:val="single" w:sz="6" w:space="1" w:color="3891A7" w:themeColor="accent1"/>
      </w:pBdr>
      <w:spacing w:before="300" w:after="0"/>
      <w:outlineLvl w:val="4"/>
    </w:pPr>
    <w:rPr>
      <w:caps/>
      <w:color w:val="2A6C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B94"/>
    <w:pPr>
      <w:pBdr>
        <w:bottom w:val="dotted" w:sz="6" w:space="1" w:color="3891A7" w:themeColor="accent1"/>
      </w:pBdr>
      <w:spacing w:before="300" w:after="0"/>
      <w:outlineLvl w:val="5"/>
    </w:pPr>
    <w:rPr>
      <w:caps/>
      <w:color w:val="2A6C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94"/>
    <w:pPr>
      <w:spacing w:before="300" w:after="0"/>
      <w:outlineLvl w:val="6"/>
    </w:pPr>
    <w:rPr>
      <w:caps/>
      <w:color w:val="2A6C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B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B94"/>
    <w:pPr>
      <w:spacing w:before="720"/>
    </w:pPr>
    <w:rPr>
      <w:caps/>
      <w:color w:val="3891A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B94"/>
    <w:rPr>
      <w:caps/>
      <w:color w:val="3891A7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259"/>
    <w:rPr>
      <w:b/>
      <w:bCs/>
      <w:caps/>
      <w:color w:val="FFFFFF" w:themeColor="background1"/>
      <w:spacing w:val="15"/>
      <w:shd w:val="clear" w:color="auto" w:fill="3891A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7B94"/>
    <w:rPr>
      <w:caps/>
      <w:spacing w:val="15"/>
      <w:shd w:val="clear" w:color="auto" w:fill="D3EA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17B94"/>
    <w:rPr>
      <w:caps/>
      <w:color w:val="1C48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B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7B94"/>
    <w:rPr>
      <w:b/>
      <w:bCs/>
      <w:color w:val="2A6C7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B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B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17B94"/>
    <w:rPr>
      <w:b/>
      <w:bCs/>
    </w:rPr>
  </w:style>
  <w:style w:type="character" w:styleId="Emphasis">
    <w:name w:val="Emphasis"/>
    <w:uiPriority w:val="20"/>
    <w:qFormat/>
    <w:rsid w:val="00817B94"/>
    <w:rPr>
      <w:caps/>
      <w:color w:val="1C48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17B9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7B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7B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B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7B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B94"/>
    <w:pPr>
      <w:pBdr>
        <w:top w:val="single" w:sz="4" w:space="10" w:color="3891A7" w:themeColor="accent1"/>
        <w:left w:val="single" w:sz="4" w:space="10" w:color="3891A7" w:themeColor="accent1"/>
      </w:pBdr>
      <w:spacing w:after="0"/>
      <w:ind w:left="1296" w:right="1152"/>
      <w:jc w:val="both"/>
    </w:pPr>
    <w:rPr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B94"/>
    <w:rPr>
      <w:i/>
      <w:iCs/>
      <w:color w:val="3891A7" w:themeColor="accent1"/>
      <w:sz w:val="20"/>
      <w:szCs w:val="20"/>
    </w:rPr>
  </w:style>
  <w:style w:type="character" w:styleId="SubtleEmphasis">
    <w:name w:val="Subtle Emphasis"/>
    <w:uiPriority w:val="19"/>
    <w:qFormat/>
    <w:rsid w:val="00817B94"/>
    <w:rPr>
      <w:i/>
      <w:iCs/>
      <w:color w:val="1C4853" w:themeColor="accent1" w:themeShade="7F"/>
    </w:rPr>
  </w:style>
  <w:style w:type="character" w:styleId="IntenseEmphasis">
    <w:name w:val="Intense Emphasis"/>
    <w:uiPriority w:val="21"/>
    <w:qFormat/>
    <w:rsid w:val="00817B94"/>
    <w:rPr>
      <w:b/>
      <w:bCs/>
      <w:caps/>
      <w:color w:val="1C4853" w:themeColor="accent1" w:themeShade="7F"/>
      <w:spacing w:val="10"/>
    </w:rPr>
  </w:style>
  <w:style w:type="character" w:styleId="SubtleReference">
    <w:name w:val="Subtle Reference"/>
    <w:uiPriority w:val="31"/>
    <w:qFormat/>
    <w:rsid w:val="00817B94"/>
    <w:rPr>
      <w:b/>
      <w:bCs/>
      <w:color w:val="3891A7" w:themeColor="accent1"/>
    </w:rPr>
  </w:style>
  <w:style w:type="character" w:styleId="IntenseReference">
    <w:name w:val="Intense Reference"/>
    <w:uiPriority w:val="32"/>
    <w:qFormat/>
    <w:rsid w:val="00817B94"/>
    <w:rPr>
      <w:b/>
      <w:bCs/>
      <w:i/>
      <w:iCs/>
      <w:caps/>
      <w:color w:val="3891A7" w:themeColor="accent1"/>
    </w:rPr>
  </w:style>
  <w:style w:type="character" w:styleId="BookTitle">
    <w:name w:val="Book Title"/>
    <w:uiPriority w:val="33"/>
    <w:qFormat/>
    <w:rsid w:val="00817B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B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0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2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25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2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84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d.fnal.gov/sd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bd.fnal.gov/SDA_Viewer/more_tabl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bd.fnal.gov/SDAMisc/AJAX/STI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-bd.fnal.gov/sda/supertable/index_I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bd.fnal.gov/javadoc/build/api/gov/fnal/controls/applications/osda/package-summ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5237-E458-4CDD-9136-88974416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13</cp:revision>
  <dcterms:created xsi:type="dcterms:W3CDTF">2010-06-15T15:42:00Z</dcterms:created>
  <dcterms:modified xsi:type="dcterms:W3CDTF">2010-06-18T17:28:00Z</dcterms:modified>
</cp:coreProperties>
</file>