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3E" w:rsidRDefault="00303384" w:rsidP="00303384">
      <w:pPr>
        <w:pStyle w:val="Title"/>
      </w:pPr>
      <w:r>
        <w:t>Booster Beam Loss Monitor</w:t>
      </w:r>
    </w:p>
    <w:p w:rsidR="00303384" w:rsidRDefault="00A73B80" w:rsidP="00303384">
      <w:pPr>
        <w:pStyle w:val="Title"/>
      </w:pPr>
      <w:r>
        <w:t>Commissioning Guide</w:t>
      </w:r>
    </w:p>
    <w:p w:rsidR="00303384" w:rsidRPr="00E00FF4" w:rsidRDefault="00E00FF4" w:rsidP="00E00FF4">
      <w:pPr>
        <w:jc w:val="center"/>
        <w:rPr>
          <w:color w:val="FF0000"/>
          <w:sz w:val="32"/>
          <w14:glow w14:rad="228600">
            <w14:schemeClr w14:val="accent6">
              <w14:alpha w14:val="60000"/>
              <w14:satMod w14:val="175000"/>
            </w14:schemeClr>
          </w14:glow>
        </w:rPr>
      </w:pPr>
      <w:r w:rsidRPr="00E00FF4">
        <w:rPr>
          <w:color w:val="FF0000"/>
          <w:sz w:val="32"/>
          <w14:glow w14:rad="228600">
            <w14:schemeClr w14:val="accent6">
              <w14:alpha w14:val="60000"/>
              <w14:satMod w14:val="175000"/>
            </w14:schemeClr>
          </w14:glow>
        </w:rPr>
        <w:t>Draft Sent Out for Comment</w:t>
      </w:r>
    </w:p>
    <w:p w:rsidR="00303384" w:rsidRDefault="00A73B80" w:rsidP="00303384">
      <w:pPr>
        <w:jc w:val="center"/>
      </w:pPr>
      <w:r>
        <w:t>January 1</w:t>
      </w:r>
      <w:r w:rsidR="00E00FF4">
        <w:t>4</w:t>
      </w:r>
      <w:r>
        <w:t>, 2013</w:t>
      </w:r>
    </w:p>
    <w:p w:rsidR="00303384" w:rsidRDefault="00303384" w:rsidP="00303384">
      <w:pPr>
        <w:jc w:val="center"/>
      </w:pPr>
      <w:r>
        <w:t>Craig Drennan</w:t>
      </w:r>
    </w:p>
    <w:p w:rsidR="00303384" w:rsidRDefault="00303384">
      <w:r>
        <w:br w:type="page"/>
      </w:r>
    </w:p>
    <w:sdt>
      <w:sdtPr>
        <w:rPr>
          <w:rFonts w:asciiTheme="minorHAnsi" w:eastAsiaTheme="minorHAnsi" w:hAnsiTheme="minorHAnsi" w:cstheme="minorBidi"/>
          <w:b w:val="0"/>
          <w:bCs w:val="0"/>
          <w:color w:val="auto"/>
          <w:sz w:val="24"/>
          <w:szCs w:val="22"/>
        </w:rPr>
        <w:id w:val="580364079"/>
        <w:docPartObj>
          <w:docPartGallery w:val="Table of Contents"/>
          <w:docPartUnique/>
        </w:docPartObj>
      </w:sdtPr>
      <w:sdtEndPr/>
      <w:sdtContent>
        <w:p w:rsidR="00987202" w:rsidRDefault="00987202">
          <w:pPr>
            <w:pStyle w:val="TOCHeading"/>
          </w:pPr>
          <w:r>
            <w:t>Table of Contents</w:t>
          </w:r>
        </w:p>
        <w:p w:rsidR="00663B86" w:rsidRDefault="00494BEF">
          <w:pPr>
            <w:pStyle w:val="TOC1"/>
            <w:tabs>
              <w:tab w:val="left" w:pos="480"/>
              <w:tab w:val="right" w:leader="dot" w:pos="9350"/>
            </w:tabs>
            <w:rPr>
              <w:rFonts w:eastAsiaTheme="minorEastAsia"/>
              <w:noProof/>
              <w:sz w:val="22"/>
            </w:rPr>
          </w:pPr>
          <w:r>
            <w:fldChar w:fldCharType="begin"/>
          </w:r>
          <w:r w:rsidR="00987202">
            <w:instrText xml:space="preserve"> TOC \o "1-3" \h \z \u </w:instrText>
          </w:r>
          <w:r>
            <w:fldChar w:fldCharType="separate"/>
          </w:r>
          <w:hyperlink w:anchor="_Toc345680806" w:history="1">
            <w:r w:rsidR="00663B86" w:rsidRPr="005B34DF">
              <w:rPr>
                <w:rStyle w:val="Hyperlink"/>
                <w:noProof/>
              </w:rPr>
              <w:t>I.</w:t>
            </w:r>
            <w:r w:rsidR="00663B86">
              <w:rPr>
                <w:rFonts w:eastAsiaTheme="minorEastAsia"/>
                <w:noProof/>
                <w:sz w:val="22"/>
              </w:rPr>
              <w:tab/>
            </w:r>
            <w:r w:rsidR="00663B86" w:rsidRPr="005B34DF">
              <w:rPr>
                <w:rStyle w:val="Hyperlink"/>
                <w:noProof/>
              </w:rPr>
              <w:t>Introduction</w:t>
            </w:r>
            <w:r w:rsidR="00663B86">
              <w:rPr>
                <w:noProof/>
                <w:webHidden/>
              </w:rPr>
              <w:tab/>
            </w:r>
            <w:r w:rsidR="00663B86">
              <w:rPr>
                <w:noProof/>
                <w:webHidden/>
              </w:rPr>
              <w:fldChar w:fldCharType="begin"/>
            </w:r>
            <w:r w:rsidR="00663B86">
              <w:rPr>
                <w:noProof/>
                <w:webHidden/>
              </w:rPr>
              <w:instrText xml:space="preserve"> PAGEREF _Toc345680806 \h </w:instrText>
            </w:r>
            <w:r w:rsidR="00663B86">
              <w:rPr>
                <w:noProof/>
                <w:webHidden/>
              </w:rPr>
            </w:r>
            <w:r w:rsidR="00663B86">
              <w:rPr>
                <w:noProof/>
                <w:webHidden/>
              </w:rPr>
              <w:fldChar w:fldCharType="separate"/>
            </w:r>
            <w:r w:rsidR="00663B86">
              <w:rPr>
                <w:noProof/>
                <w:webHidden/>
              </w:rPr>
              <w:t>1</w:t>
            </w:r>
            <w:r w:rsidR="00663B86">
              <w:rPr>
                <w:noProof/>
                <w:webHidden/>
              </w:rPr>
              <w:fldChar w:fldCharType="end"/>
            </w:r>
          </w:hyperlink>
        </w:p>
        <w:p w:rsidR="00663B86" w:rsidRDefault="00B03051">
          <w:pPr>
            <w:pStyle w:val="TOC2"/>
            <w:tabs>
              <w:tab w:val="left" w:pos="880"/>
              <w:tab w:val="right" w:leader="dot" w:pos="9350"/>
            </w:tabs>
            <w:rPr>
              <w:rFonts w:eastAsiaTheme="minorEastAsia"/>
              <w:noProof/>
              <w:sz w:val="22"/>
            </w:rPr>
          </w:pPr>
          <w:hyperlink w:anchor="_Toc345680807" w:history="1">
            <w:r w:rsidR="00663B86" w:rsidRPr="005B34DF">
              <w:rPr>
                <w:rStyle w:val="Hyperlink"/>
                <w:noProof/>
              </w:rPr>
              <w:t>I.1</w:t>
            </w:r>
            <w:r w:rsidR="00663B86">
              <w:rPr>
                <w:rFonts w:eastAsiaTheme="minorEastAsia"/>
                <w:noProof/>
                <w:sz w:val="22"/>
              </w:rPr>
              <w:tab/>
            </w:r>
            <w:r w:rsidR="00663B86" w:rsidRPr="005B34DF">
              <w:rPr>
                <w:rStyle w:val="Hyperlink"/>
                <w:noProof/>
                <w14:glow w14:rad="139700">
                  <w14:schemeClr w14:val="accent2">
                    <w14:alpha w14:val="60000"/>
                    <w14:satMod w14:val="175000"/>
                  </w14:schemeClr>
                </w14:glow>
              </w:rPr>
              <w:t xml:space="preserve">Draft </w:t>
            </w:r>
            <w:r w:rsidR="00663B86" w:rsidRPr="005B34DF">
              <w:rPr>
                <w:rStyle w:val="Hyperlink"/>
                <w:noProof/>
              </w:rPr>
              <w:t xml:space="preserve"> General Procedure for Installation and Commissioning</w:t>
            </w:r>
            <w:r w:rsidR="00663B86">
              <w:rPr>
                <w:noProof/>
                <w:webHidden/>
              </w:rPr>
              <w:tab/>
            </w:r>
            <w:r w:rsidR="00663B86">
              <w:rPr>
                <w:noProof/>
                <w:webHidden/>
              </w:rPr>
              <w:fldChar w:fldCharType="begin"/>
            </w:r>
            <w:r w:rsidR="00663B86">
              <w:rPr>
                <w:noProof/>
                <w:webHidden/>
              </w:rPr>
              <w:instrText xml:space="preserve"> PAGEREF _Toc345680807 \h </w:instrText>
            </w:r>
            <w:r w:rsidR="00663B86">
              <w:rPr>
                <w:noProof/>
                <w:webHidden/>
              </w:rPr>
            </w:r>
            <w:r w:rsidR="00663B86">
              <w:rPr>
                <w:noProof/>
                <w:webHidden/>
              </w:rPr>
              <w:fldChar w:fldCharType="separate"/>
            </w:r>
            <w:r w:rsidR="00663B86">
              <w:rPr>
                <w:noProof/>
                <w:webHidden/>
              </w:rPr>
              <w:t>1</w:t>
            </w:r>
            <w:r w:rsidR="00663B86">
              <w:rPr>
                <w:noProof/>
                <w:webHidden/>
              </w:rPr>
              <w:fldChar w:fldCharType="end"/>
            </w:r>
          </w:hyperlink>
        </w:p>
        <w:p w:rsidR="00663B86" w:rsidRDefault="00B03051">
          <w:pPr>
            <w:pStyle w:val="TOC2"/>
            <w:tabs>
              <w:tab w:val="left" w:pos="880"/>
              <w:tab w:val="right" w:leader="dot" w:pos="9350"/>
            </w:tabs>
            <w:rPr>
              <w:rFonts w:eastAsiaTheme="minorEastAsia"/>
              <w:noProof/>
              <w:sz w:val="22"/>
            </w:rPr>
          </w:pPr>
          <w:hyperlink w:anchor="_Toc345680808" w:history="1">
            <w:r w:rsidR="00663B86" w:rsidRPr="005B34DF">
              <w:rPr>
                <w:rStyle w:val="Hyperlink"/>
                <w:noProof/>
              </w:rPr>
              <w:t>I.2</w:t>
            </w:r>
            <w:r w:rsidR="00663B86">
              <w:rPr>
                <w:rFonts w:eastAsiaTheme="minorEastAsia"/>
                <w:noProof/>
                <w:sz w:val="22"/>
              </w:rPr>
              <w:tab/>
            </w:r>
            <w:r w:rsidR="00663B86" w:rsidRPr="005B34DF">
              <w:rPr>
                <w:rStyle w:val="Hyperlink"/>
                <w:noProof/>
                <w14:glow w14:rad="139700">
                  <w14:schemeClr w14:val="accent2">
                    <w14:alpha w14:val="60000"/>
                    <w14:satMod w14:val="175000"/>
                  </w14:schemeClr>
                </w14:glow>
              </w:rPr>
              <w:t xml:space="preserve">Draft </w:t>
            </w:r>
            <w:r w:rsidR="00663B86" w:rsidRPr="005B34DF">
              <w:rPr>
                <w:rStyle w:val="Hyperlink"/>
                <w:noProof/>
              </w:rPr>
              <w:t xml:space="preserve"> Procedure for Commissioning</w:t>
            </w:r>
            <w:r w:rsidR="00663B86">
              <w:rPr>
                <w:noProof/>
                <w:webHidden/>
              </w:rPr>
              <w:tab/>
            </w:r>
            <w:r w:rsidR="00663B86">
              <w:rPr>
                <w:noProof/>
                <w:webHidden/>
              </w:rPr>
              <w:fldChar w:fldCharType="begin"/>
            </w:r>
            <w:r w:rsidR="00663B86">
              <w:rPr>
                <w:noProof/>
                <w:webHidden/>
              </w:rPr>
              <w:instrText xml:space="preserve"> PAGEREF _Toc345680808 \h </w:instrText>
            </w:r>
            <w:r w:rsidR="00663B86">
              <w:rPr>
                <w:noProof/>
                <w:webHidden/>
              </w:rPr>
            </w:r>
            <w:r w:rsidR="00663B86">
              <w:rPr>
                <w:noProof/>
                <w:webHidden/>
              </w:rPr>
              <w:fldChar w:fldCharType="separate"/>
            </w:r>
            <w:r w:rsidR="00663B86">
              <w:rPr>
                <w:noProof/>
                <w:webHidden/>
              </w:rPr>
              <w:t>1</w:t>
            </w:r>
            <w:r w:rsidR="00663B86">
              <w:rPr>
                <w:noProof/>
                <w:webHidden/>
              </w:rPr>
              <w:fldChar w:fldCharType="end"/>
            </w:r>
          </w:hyperlink>
        </w:p>
        <w:p w:rsidR="00663B86" w:rsidRDefault="00B03051">
          <w:pPr>
            <w:pStyle w:val="TOC2"/>
            <w:tabs>
              <w:tab w:val="left" w:pos="880"/>
              <w:tab w:val="right" w:leader="dot" w:pos="9350"/>
            </w:tabs>
            <w:rPr>
              <w:rFonts w:eastAsiaTheme="minorEastAsia"/>
              <w:noProof/>
              <w:sz w:val="22"/>
            </w:rPr>
          </w:pPr>
          <w:hyperlink w:anchor="_Toc345680809" w:history="1">
            <w:r w:rsidR="00663B86" w:rsidRPr="005B34DF">
              <w:rPr>
                <w:rStyle w:val="Hyperlink"/>
                <w:noProof/>
              </w:rPr>
              <w:t>I.3</w:t>
            </w:r>
            <w:r w:rsidR="00663B86">
              <w:rPr>
                <w:rFonts w:eastAsiaTheme="minorEastAsia"/>
                <w:noProof/>
                <w:sz w:val="22"/>
              </w:rPr>
              <w:tab/>
            </w:r>
            <w:r w:rsidR="00663B86" w:rsidRPr="005B34DF">
              <w:rPr>
                <w:rStyle w:val="Hyperlink"/>
                <w:noProof/>
              </w:rPr>
              <w:t>ACNET Device Names</w:t>
            </w:r>
            <w:r w:rsidR="00663B86">
              <w:rPr>
                <w:noProof/>
                <w:webHidden/>
              </w:rPr>
              <w:tab/>
            </w:r>
            <w:r w:rsidR="00663B86">
              <w:rPr>
                <w:noProof/>
                <w:webHidden/>
              </w:rPr>
              <w:fldChar w:fldCharType="begin"/>
            </w:r>
            <w:r w:rsidR="00663B86">
              <w:rPr>
                <w:noProof/>
                <w:webHidden/>
              </w:rPr>
              <w:instrText xml:space="preserve"> PAGEREF _Toc345680809 \h </w:instrText>
            </w:r>
            <w:r w:rsidR="00663B86">
              <w:rPr>
                <w:noProof/>
                <w:webHidden/>
              </w:rPr>
            </w:r>
            <w:r w:rsidR="00663B86">
              <w:rPr>
                <w:noProof/>
                <w:webHidden/>
              </w:rPr>
              <w:fldChar w:fldCharType="separate"/>
            </w:r>
            <w:r w:rsidR="00663B86">
              <w:rPr>
                <w:noProof/>
                <w:webHidden/>
              </w:rPr>
              <w:t>2</w:t>
            </w:r>
            <w:r w:rsidR="00663B86">
              <w:rPr>
                <w:noProof/>
                <w:webHidden/>
              </w:rPr>
              <w:fldChar w:fldCharType="end"/>
            </w:r>
          </w:hyperlink>
        </w:p>
        <w:p w:rsidR="00663B86" w:rsidRDefault="00B03051">
          <w:pPr>
            <w:pStyle w:val="TOC1"/>
            <w:tabs>
              <w:tab w:val="right" w:leader="dot" w:pos="9350"/>
            </w:tabs>
            <w:rPr>
              <w:rFonts w:eastAsiaTheme="minorEastAsia"/>
              <w:noProof/>
              <w:sz w:val="22"/>
            </w:rPr>
          </w:pPr>
          <w:hyperlink w:anchor="_Toc345680810" w:history="1">
            <w:r w:rsidR="00663B86" w:rsidRPr="005B34DF">
              <w:rPr>
                <w:rStyle w:val="Hyperlink"/>
                <w:noProof/>
              </w:rPr>
              <w:t>Appendix A:  New BLM Front-End and Integrator / Digitizer Assignments</w:t>
            </w:r>
            <w:r w:rsidR="00663B86">
              <w:rPr>
                <w:noProof/>
                <w:webHidden/>
              </w:rPr>
              <w:tab/>
            </w:r>
            <w:r w:rsidR="00663B86">
              <w:rPr>
                <w:noProof/>
                <w:webHidden/>
              </w:rPr>
              <w:fldChar w:fldCharType="begin"/>
            </w:r>
            <w:r w:rsidR="00663B86">
              <w:rPr>
                <w:noProof/>
                <w:webHidden/>
              </w:rPr>
              <w:instrText xml:space="preserve"> PAGEREF _Toc345680810 \h </w:instrText>
            </w:r>
            <w:r w:rsidR="00663B86">
              <w:rPr>
                <w:noProof/>
                <w:webHidden/>
              </w:rPr>
            </w:r>
            <w:r w:rsidR="00663B86">
              <w:rPr>
                <w:noProof/>
                <w:webHidden/>
              </w:rPr>
              <w:fldChar w:fldCharType="separate"/>
            </w:r>
            <w:r w:rsidR="00663B86">
              <w:rPr>
                <w:noProof/>
                <w:webHidden/>
              </w:rPr>
              <w:t>4</w:t>
            </w:r>
            <w:r w:rsidR="00663B86">
              <w:rPr>
                <w:noProof/>
                <w:webHidden/>
              </w:rPr>
              <w:fldChar w:fldCharType="end"/>
            </w:r>
          </w:hyperlink>
        </w:p>
        <w:p w:rsidR="00663B86" w:rsidRDefault="00B03051">
          <w:pPr>
            <w:pStyle w:val="TOC1"/>
            <w:tabs>
              <w:tab w:val="right" w:leader="dot" w:pos="9350"/>
            </w:tabs>
            <w:rPr>
              <w:rFonts w:eastAsiaTheme="minorEastAsia"/>
              <w:noProof/>
              <w:sz w:val="22"/>
            </w:rPr>
          </w:pPr>
          <w:hyperlink w:anchor="_Toc345680811" w:history="1">
            <w:r w:rsidR="00663B86" w:rsidRPr="005B34DF">
              <w:rPr>
                <w:rStyle w:val="Hyperlink"/>
                <w:noProof/>
              </w:rPr>
              <w:t>Appendix B:  BLM Channel Calibration Coefficients, Alarm Limits and Scale Factor Predictions Between Old and New Read Back Electronics.</w:t>
            </w:r>
            <w:r w:rsidR="00663B86">
              <w:rPr>
                <w:noProof/>
                <w:webHidden/>
              </w:rPr>
              <w:tab/>
            </w:r>
            <w:r w:rsidR="00663B86">
              <w:rPr>
                <w:noProof/>
                <w:webHidden/>
              </w:rPr>
              <w:fldChar w:fldCharType="begin"/>
            </w:r>
            <w:r w:rsidR="00663B86">
              <w:rPr>
                <w:noProof/>
                <w:webHidden/>
              </w:rPr>
              <w:instrText xml:space="preserve"> PAGEREF _Toc345680811 \h </w:instrText>
            </w:r>
            <w:r w:rsidR="00663B86">
              <w:rPr>
                <w:noProof/>
                <w:webHidden/>
              </w:rPr>
            </w:r>
            <w:r w:rsidR="00663B86">
              <w:rPr>
                <w:noProof/>
                <w:webHidden/>
              </w:rPr>
              <w:fldChar w:fldCharType="separate"/>
            </w:r>
            <w:r w:rsidR="00663B86">
              <w:rPr>
                <w:noProof/>
                <w:webHidden/>
              </w:rPr>
              <w:t>7</w:t>
            </w:r>
            <w:r w:rsidR="00663B86">
              <w:rPr>
                <w:noProof/>
                <w:webHidden/>
              </w:rPr>
              <w:fldChar w:fldCharType="end"/>
            </w:r>
          </w:hyperlink>
        </w:p>
        <w:p w:rsidR="00987202" w:rsidRDefault="00494BEF">
          <w:r>
            <w:fldChar w:fldCharType="end"/>
          </w:r>
        </w:p>
      </w:sdtContent>
    </w:sdt>
    <w:p w:rsidR="00303384" w:rsidRDefault="00303384" w:rsidP="00303384">
      <w:pPr>
        <w:jc w:val="center"/>
      </w:pPr>
    </w:p>
    <w:p w:rsidR="00303384" w:rsidRDefault="00303384" w:rsidP="00303384">
      <w:pPr>
        <w:jc w:val="center"/>
      </w:pPr>
    </w:p>
    <w:p w:rsidR="00303384" w:rsidRDefault="00303384" w:rsidP="00303384">
      <w:pPr>
        <w:jc w:val="center"/>
        <w:sectPr w:rsidR="00303384" w:rsidSect="00987202">
          <w:footerReference w:type="default" r:id="rId9"/>
          <w:pgSz w:w="12240" w:h="15840"/>
          <w:pgMar w:top="1440" w:right="1440" w:bottom="1440" w:left="1440" w:header="720" w:footer="720" w:gutter="0"/>
          <w:pgNumType w:fmt="lowerRoman"/>
          <w:cols w:space="720"/>
          <w:titlePg/>
          <w:docGrid w:linePitch="360"/>
        </w:sectPr>
      </w:pPr>
    </w:p>
    <w:p w:rsidR="00303384" w:rsidRDefault="00303384" w:rsidP="00303384">
      <w:pPr>
        <w:pStyle w:val="Heading1"/>
      </w:pPr>
      <w:bookmarkStart w:id="0" w:name="_Toc345680806"/>
      <w:r>
        <w:lastRenderedPageBreak/>
        <w:t>Introduction</w:t>
      </w:r>
      <w:bookmarkEnd w:id="0"/>
    </w:p>
    <w:p w:rsidR="00550F38" w:rsidRDefault="00303384" w:rsidP="004F73E6">
      <w:r>
        <w:t xml:space="preserve">This note </w:t>
      </w:r>
      <w:r w:rsidR="00A73B80">
        <w:t>is written to provide details and procedures for commissioning into service the new Booster Beam Loss Monitor readout electronics.  Refer to the document “Booster Beam Loss Monitor Data Acquisition and Presentation Specification”</w:t>
      </w:r>
      <w:r w:rsidR="00550F38">
        <w:t xml:space="preserve">, </w:t>
      </w:r>
      <w:r w:rsidR="00550F38" w:rsidRPr="00550F38">
        <w:t>Beams-doc-3723-v8</w:t>
      </w:r>
      <w:r w:rsidR="00550F38">
        <w:t>, for additional details not provided in this document.</w:t>
      </w:r>
    </w:p>
    <w:p w:rsidR="00550F38" w:rsidRDefault="00550F38" w:rsidP="004F73E6"/>
    <w:p w:rsidR="00550F38" w:rsidRDefault="00550F38" w:rsidP="00756BA0">
      <w:pPr>
        <w:pStyle w:val="Heading2"/>
      </w:pPr>
      <w:bookmarkStart w:id="1" w:name="_Toc345680807"/>
      <w:proofErr w:type="gramStart"/>
      <w:r w:rsidRPr="00550F38">
        <w:rPr>
          <w:color w:val="FFFF00"/>
          <w14:glow w14:rad="139700">
            <w14:schemeClr w14:val="accent2">
              <w14:alpha w14:val="60000"/>
              <w14:satMod w14:val="175000"/>
            </w14:schemeClr>
          </w14:glow>
        </w:rPr>
        <w:t>Draft</w:t>
      </w:r>
      <w:r w:rsidRPr="00550F38">
        <w:rPr>
          <w14:glow w14:rad="139700">
            <w14:schemeClr w14:val="accent2">
              <w14:alpha w14:val="60000"/>
              <w14:satMod w14:val="175000"/>
            </w14:schemeClr>
          </w14:glow>
        </w:rPr>
        <w:t xml:space="preserve"> </w:t>
      </w:r>
      <w:r>
        <w:t xml:space="preserve"> General</w:t>
      </w:r>
      <w:proofErr w:type="gramEnd"/>
      <w:r>
        <w:t xml:space="preserve"> Procedure for </w:t>
      </w:r>
      <w:r w:rsidR="005E736F">
        <w:t xml:space="preserve">Installation and </w:t>
      </w:r>
      <w:r>
        <w:t>Commissioning</w:t>
      </w:r>
      <w:bookmarkEnd w:id="1"/>
    </w:p>
    <w:p w:rsidR="005E736F" w:rsidRDefault="005E736F" w:rsidP="005E736F">
      <w:r>
        <w:t>General considerations for tests made using operational BLM’s</w:t>
      </w:r>
    </w:p>
    <w:p w:rsidR="005E736F" w:rsidRDefault="005E736F" w:rsidP="005E736F">
      <w:pPr>
        <w:pStyle w:val="ListParagraph"/>
        <w:numPr>
          <w:ilvl w:val="0"/>
          <w:numId w:val="21"/>
        </w:numPr>
      </w:pPr>
      <w:r>
        <w:t xml:space="preserve">Operational BLM’s have limits set to signal the Booster to shut down if losses become excessive in the vicinity of the BLM.  </w:t>
      </w:r>
      <w:r w:rsidR="003D30AE">
        <w:t>When disconnecting the BLM from its normal read back electronics the Booster should be monitored from the control room and should be disconnect</w:t>
      </w:r>
      <w:r w:rsidR="00731BF2">
        <w:t>ed</w:t>
      </w:r>
      <w:r w:rsidR="003D30AE">
        <w:t xml:space="preserve"> for as brief an interval as possible.</w:t>
      </w:r>
    </w:p>
    <w:p w:rsidR="003D30AE" w:rsidRDefault="003D30AE" w:rsidP="005E736F">
      <w:pPr>
        <w:pStyle w:val="ListParagraph"/>
        <w:numPr>
          <w:ilvl w:val="0"/>
          <w:numId w:val="21"/>
        </w:numPr>
      </w:pPr>
      <w:r>
        <w:t>If artificial calibration signals are to be injected into the normal read-back electronics, it may be necessary to disable the abort alarm limit for the effected BLM channel.</w:t>
      </w:r>
    </w:p>
    <w:p w:rsidR="003D30AE" w:rsidRDefault="00731BF2" w:rsidP="005E736F">
      <w:pPr>
        <w:pStyle w:val="ListParagraph"/>
        <w:numPr>
          <w:ilvl w:val="0"/>
          <w:numId w:val="21"/>
        </w:numPr>
      </w:pPr>
      <w:r>
        <w:t>All BLM</w:t>
      </w:r>
      <w:r w:rsidR="003D30AE">
        <w:t>s</w:t>
      </w:r>
      <w:r>
        <w:t>’</w:t>
      </w:r>
      <w:r w:rsidR="003D30AE">
        <w:t xml:space="preserve"> 1 ms Sums are logged for each type of Booster cycle.  </w:t>
      </w:r>
      <w:r w:rsidR="00EC38A5">
        <w:t>A</w:t>
      </w:r>
      <w:r>
        <w:t>n</w:t>
      </w:r>
      <w:r w:rsidR="00EC38A5">
        <w:t xml:space="preserve"> electronic logbook entry should be made indicating when each normal BLM read back was disconnected from its BLM.  If an artificial calibration signal is injected the BLM chassis output voltage to the IRM should be disconnected</w:t>
      </w:r>
      <w:r>
        <w:t>. The IRM computes the 1 ms Sums, the 100 sec Sums and the forever Sum and we should avoid corrupting the sums with the injected signal</w:t>
      </w:r>
      <w:r w:rsidR="00EC38A5">
        <w:t>.  The BLM’s snapshot plot is made using the output voltage to the MADC channels.</w:t>
      </w:r>
    </w:p>
    <w:p w:rsidR="005E736F" w:rsidRPr="005E736F" w:rsidRDefault="00325F47" w:rsidP="00325F47">
      <w:pPr>
        <w:pStyle w:val="Heading2"/>
      </w:pPr>
      <w:bookmarkStart w:id="2" w:name="_Toc345680808"/>
      <w:proofErr w:type="gramStart"/>
      <w:r w:rsidRPr="00550F38">
        <w:rPr>
          <w:color w:val="FFFF00"/>
          <w14:glow w14:rad="139700">
            <w14:schemeClr w14:val="accent2">
              <w14:alpha w14:val="60000"/>
              <w14:satMod w14:val="175000"/>
            </w14:schemeClr>
          </w14:glow>
        </w:rPr>
        <w:t>Draft</w:t>
      </w:r>
      <w:r w:rsidRPr="00550F38">
        <w:rPr>
          <w14:glow w14:rad="139700">
            <w14:schemeClr w14:val="accent2">
              <w14:alpha w14:val="60000"/>
              <w14:satMod w14:val="175000"/>
            </w14:schemeClr>
          </w14:glow>
        </w:rPr>
        <w:t xml:space="preserve"> </w:t>
      </w:r>
      <w:r>
        <w:t xml:space="preserve"> </w:t>
      </w:r>
      <w:r w:rsidR="005E736F">
        <w:t>Procedure</w:t>
      </w:r>
      <w:proofErr w:type="gramEnd"/>
      <w:r w:rsidR="005E736F">
        <w:t xml:space="preserve"> for Commissioning</w:t>
      </w:r>
      <w:bookmarkEnd w:id="2"/>
    </w:p>
    <w:p w:rsidR="00CE4F46" w:rsidRDefault="00550F38" w:rsidP="00B33B44">
      <w:pPr>
        <w:pStyle w:val="ListParagraph"/>
        <w:numPr>
          <w:ilvl w:val="0"/>
          <w:numId w:val="20"/>
        </w:numPr>
      </w:pPr>
      <w:r>
        <w:t>The new electronics are installed into the racks at Periods 1, 11, 17, and 20 in the Booster Gallery</w:t>
      </w:r>
      <w:r w:rsidR="00CE4F46">
        <w:t>.</w:t>
      </w:r>
    </w:p>
    <w:p w:rsidR="00B33B44" w:rsidRDefault="00B33B44" w:rsidP="00B33B44">
      <w:pPr>
        <w:pStyle w:val="ListParagraph"/>
        <w:numPr>
          <w:ilvl w:val="0"/>
          <w:numId w:val="20"/>
        </w:numPr>
      </w:pPr>
      <w:r>
        <w:t>Integrator / Digitizer inputs are cabled to their respecti</w:t>
      </w:r>
      <w:r w:rsidR="00AD6D1C">
        <w:t>ve</w:t>
      </w:r>
      <w:r>
        <w:t xml:space="preserve"> connections on the output of the Signal Filter / Feed-through boxes.</w:t>
      </w:r>
      <w:r w:rsidR="00E071F6">
        <w:t xml:space="preserve">  Appendix A lists the Old/New front-end assignments and the Integrator/Digitizer channel assignments for the effected BLM’s.</w:t>
      </w:r>
    </w:p>
    <w:p w:rsidR="00756BA0" w:rsidRDefault="00AD6D1C" w:rsidP="00B33B44">
      <w:pPr>
        <w:pStyle w:val="ListParagraph"/>
        <w:numPr>
          <w:ilvl w:val="0"/>
          <w:numId w:val="20"/>
        </w:numPr>
      </w:pPr>
      <w:r>
        <w:t>Make o</w:t>
      </w:r>
      <w:r w:rsidR="00756BA0">
        <w:t>nline comparison of old versus new readouts for each BLM with actual losses.</w:t>
      </w:r>
    </w:p>
    <w:p w:rsidR="00756BA0" w:rsidRDefault="005E736F" w:rsidP="00756BA0">
      <w:pPr>
        <w:pStyle w:val="ListParagraph"/>
        <w:numPr>
          <w:ilvl w:val="1"/>
          <w:numId w:val="20"/>
        </w:numPr>
      </w:pPr>
      <w:r>
        <w:t>Test (temporary) ACNET devices will be assigned to the new readout channels in the Booster Gallery period being tested.  These Test devices will be reassigned when moving the testing to another period.</w:t>
      </w:r>
    </w:p>
    <w:p w:rsidR="00AB30A6" w:rsidRDefault="00AB30A6" w:rsidP="00756BA0">
      <w:pPr>
        <w:pStyle w:val="ListParagraph"/>
        <w:numPr>
          <w:ilvl w:val="1"/>
          <w:numId w:val="20"/>
        </w:numPr>
      </w:pPr>
      <w:r>
        <w:t>We will also need test devices that assume the role of 1 ms Sum and 100 second Sum.</w:t>
      </w:r>
    </w:p>
    <w:p w:rsidR="00EC38A5" w:rsidRDefault="00EC38A5" w:rsidP="00756BA0">
      <w:pPr>
        <w:pStyle w:val="ListParagraph"/>
        <w:numPr>
          <w:ilvl w:val="1"/>
          <w:numId w:val="20"/>
        </w:numPr>
      </w:pPr>
      <w:r>
        <w:t>Under stable Booster acceleration conditions the normal system readings for a particular BLM will</w:t>
      </w:r>
      <w:r w:rsidR="00B03051">
        <w:t xml:space="preserve"> be</w:t>
      </w:r>
      <w:r>
        <w:t xml:space="preserve"> noted, and then the signal cable from the BLM will be </w:t>
      </w:r>
      <w:r>
        <w:lastRenderedPageBreak/>
        <w:t>disconnected from the normal system and connected into the new read back electronics.</w:t>
      </w:r>
    </w:p>
    <w:p w:rsidR="00EC38A5" w:rsidRDefault="00EC38A5" w:rsidP="00756BA0">
      <w:pPr>
        <w:pStyle w:val="ListParagraph"/>
        <w:numPr>
          <w:ilvl w:val="1"/>
          <w:numId w:val="20"/>
        </w:numPr>
      </w:pPr>
      <w:r>
        <w:t>The BLM readings produced by the new read back system will be recorded and compared to those of the normal system.</w:t>
      </w:r>
    </w:p>
    <w:p w:rsidR="00EC38A5" w:rsidRDefault="00EC38A5" w:rsidP="00756BA0">
      <w:pPr>
        <w:pStyle w:val="ListParagraph"/>
        <w:numPr>
          <w:ilvl w:val="1"/>
          <w:numId w:val="20"/>
        </w:numPr>
      </w:pPr>
      <w:r>
        <w:t>A scale factor will be computed between the two sets of readings and compared to the predicted</w:t>
      </w:r>
      <w:r w:rsidR="00A10F8E">
        <w:t xml:space="preserve"> scale factors given in the tables in Appendix B.</w:t>
      </w:r>
    </w:p>
    <w:p w:rsidR="00A10F8E" w:rsidRDefault="00A10F8E" w:rsidP="00756BA0">
      <w:pPr>
        <w:pStyle w:val="ListParagraph"/>
        <w:numPr>
          <w:ilvl w:val="1"/>
          <w:numId w:val="20"/>
        </w:numPr>
      </w:pPr>
      <w:r>
        <w:t>The BLM will be disconnected from the normal system for as little amount of time as possible.  The considerations listed above should be applied.</w:t>
      </w:r>
    </w:p>
    <w:p w:rsidR="00A10F8E" w:rsidRDefault="00B75FE5" w:rsidP="00A10F8E">
      <w:pPr>
        <w:pStyle w:val="ListParagraph"/>
        <w:numPr>
          <w:ilvl w:val="0"/>
          <w:numId w:val="20"/>
        </w:num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5FE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kind of signal can we inject to test the alarm limits</w:t>
      </w:r>
    </w:p>
    <w:p w:rsidR="00AB30A6" w:rsidRDefault="00AB30A6" w:rsidP="00AB30A6">
      <w:pPr>
        <w:pStyle w:val="ListParagraph"/>
        <w:numPr>
          <w:ilvl w:val="1"/>
          <w:numId w:val="20"/>
        </w:num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 have a precise current source that can source a consistent Nano-amp current.</w:t>
      </w:r>
    </w:p>
    <w:p w:rsidR="00AB30A6" w:rsidRDefault="00AB30A6" w:rsidP="00AB30A6">
      <w:pPr>
        <w:pStyle w:val="ListParagraph"/>
        <w:numPr>
          <w:ilvl w:val="1"/>
          <w:numId w:val="20"/>
        </w:num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source could be used to find the trip setting for a particular BLM and then that level could be applied to the new readout channel.</w:t>
      </w:r>
    </w:p>
    <w:p w:rsidR="00AB30A6" w:rsidRDefault="00AB30A6" w:rsidP="00AB30A6">
      <w:pPr>
        <w:pStyle w:val="ListParagraph"/>
        <w:numPr>
          <w:ilvl w:val="1"/>
          <w:numId w:val="20"/>
        </w:num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 would also lower the source setting to ensure the new readout channel would not trip under these conditions.</w:t>
      </w:r>
    </w:p>
    <w:p w:rsidR="00AB30A6" w:rsidRDefault="00AB30A6" w:rsidP="00AB30A6">
      <w:pPr>
        <w:pStyle w:val="ListParagraph"/>
        <w:numPr>
          <w:ilvl w:val="1"/>
          <w:numId w:val="20"/>
        </w:num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Perhaps a more realistic test current would be a pulse we could adjust the amplitude of.</w:t>
      </w:r>
    </w:p>
    <w:p w:rsidR="00150E3E" w:rsidRPr="00150E3E" w:rsidRDefault="00150E3E" w:rsidP="00150E3E">
      <w:pPr>
        <w:pStyle w:val="ListParagraph"/>
        <w:numPr>
          <w:ilvl w:val="0"/>
          <w:numId w:val="20"/>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t>Data from all the test will be considered together to ensure consistency in the conversion between the old and new readouts.</w:t>
      </w:r>
    </w:p>
    <w:p w:rsidR="00150E3E" w:rsidRPr="00150E3E" w:rsidRDefault="00150E3E" w:rsidP="00150E3E">
      <w:pPr>
        <w:pStyle w:val="ListParagraph"/>
        <w:numPr>
          <w:ilvl w:val="0"/>
          <w:numId w:val="20"/>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t>Operator evaluation of the new readouts and the plotting and logging functions can be carried out for a period of days to ensure the new front ends are working reliably.</w:t>
      </w:r>
    </w:p>
    <w:p w:rsidR="00150E3E" w:rsidRPr="00150E3E" w:rsidRDefault="00150E3E" w:rsidP="00150E3E">
      <w:pPr>
        <w:pStyle w:val="ListParagraph"/>
        <w:numPr>
          <w:ilvl w:val="0"/>
          <w:numId w:val="20"/>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t>Once the scaling and alarm settings are understood for the new readouts the Controls Group will make the ACNET database changes to establish the new readouts as the operational devices.</w:t>
      </w:r>
    </w:p>
    <w:p w:rsidR="00150E3E" w:rsidRPr="00150E3E" w:rsidRDefault="00150E3E" w:rsidP="00150E3E">
      <w:pPr>
        <w:pStyle w:val="ListParagraph"/>
        <w:numPr>
          <w:ilvl w:val="0"/>
          <w:numId w:val="20"/>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t>The Test ACNET device names will be move to the next BLM rack location to be upgraded.</w:t>
      </w:r>
    </w:p>
    <w:p w:rsidR="00150E3E" w:rsidRPr="00B75FE5" w:rsidRDefault="00150E3E" w:rsidP="00150E3E"/>
    <w:p w:rsidR="00CE4F46" w:rsidRDefault="00CE4F46" w:rsidP="00756BA0">
      <w:pPr>
        <w:pStyle w:val="Heading2"/>
      </w:pPr>
      <w:bookmarkStart w:id="3" w:name="_Toc345680809"/>
      <w:r>
        <w:t>ACNET Device Names</w:t>
      </w:r>
      <w:bookmarkEnd w:id="3"/>
    </w:p>
    <w:p w:rsidR="005B07FB" w:rsidRDefault="005B07FB" w:rsidP="004F73E6">
      <w:r>
        <w:t>Charge measured from e</w:t>
      </w:r>
      <w:r w:rsidR="00CE4F46">
        <w:t xml:space="preserve">ach BLM </w:t>
      </w:r>
      <w:r>
        <w:t xml:space="preserve">is integrated or summed using 4 different time scales.  An ACNET device is assigned to each of the 4 different sums, for each of the Booster BLM’s.  </w:t>
      </w:r>
    </w:p>
    <w:p w:rsidR="005B07FB" w:rsidRDefault="005B07FB" w:rsidP="004F73E6"/>
    <w:tbl>
      <w:tblPr>
        <w:tblStyle w:val="TableGrid"/>
        <w:tblW w:w="0" w:type="auto"/>
        <w:tblLook w:val="04A0" w:firstRow="1" w:lastRow="0" w:firstColumn="1" w:lastColumn="0" w:noHBand="0" w:noVBand="1"/>
      </w:tblPr>
      <w:tblGrid>
        <w:gridCol w:w="1246"/>
        <w:gridCol w:w="3722"/>
        <w:gridCol w:w="4608"/>
      </w:tblGrid>
      <w:tr w:rsidR="005B07FB" w:rsidTr="004F73E6">
        <w:tc>
          <w:tcPr>
            <w:tcW w:w="1246" w:type="dxa"/>
          </w:tcPr>
          <w:p w:rsidR="005B07FB" w:rsidRDefault="005B07FB" w:rsidP="004F73E6">
            <w:r>
              <w:t>ACNET Name Format</w:t>
            </w:r>
          </w:p>
        </w:tc>
        <w:tc>
          <w:tcPr>
            <w:tcW w:w="3722" w:type="dxa"/>
          </w:tcPr>
          <w:p w:rsidR="005B07FB" w:rsidRDefault="005B07FB" w:rsidP="004F73E6">
            <w:r>
              <w:t>Type of Sum</w:t>
            </w:r>
          </w:p>
        </w:tc>
        <w:tc>
          <w:tcPr>
            <w:tcW w:w="4608" w:type="dxa"/>
          </w:tcPr>
          <w:p w:rsidR="005B07FB" w:rsidRDefault="005B07FB" w:rsidP="004F73E6">
            <w:r>
              <w:t>Description</w:t>
            </w:r>
          </w:p>
        </w:tc>
      </w:tr>
      <w:tr w:rsidR="005B07FB" w:rsidTr="004F73E6">
        <w:tc>
          <w:tcPr>
            <w:tcW w:w="1246" w:type="dxa"/>
          </w:tcPr>
          <w:p w:rsidR="005B07FB" w:rsidRDefault="005B07FB" w:rsidP="004F73E6">
            <w:r>
              <w:t xml:space="preserve">Not yet </w:t>
            </w:r>
            <w:r w:rsidR="004F73E6">
              <w:t>available</w:t>
            </w:r>
          </w:p>
        </w:tc>
        <w:tc>
          <w:tcPr>
            <w:tcW w:w="3722" w:type="dxa"/>
          </w:tcPr>
          <w:p w:rsidR="005B07FB" w:rsidRPr="00A05992" w:rsidRDefault="004F73E6" w:rsidP="004F73E6">
            <w:pPr>
              <w:rPr>
                <w:rFonts w:cs="Arial"/>
              </w:rPr>
            </w:pPr>
            <w:r w:rsidRPr="00A05992">
              <w:rPr>
                <w:rFonts w:cs="Arial"/>
              </w:rPr>
              <w:t xml:space="preserve">80 </w:t>
            </w:r>
            <w:proofErr w:type="spellStart"/>
            <w:r>
              <w:rPr>
                <w:rFonts w:cs="Arial"/>
              </w:rPr>
              <w:t>μs</w:t>
            </w:r>
            <w:proofErr w:type="spellEnd"/>
            <w:r w:rsidRPr="00A05992">
              <w:rPr>
                <w:rFonts w:cs="Arial"/>
              </w:rPr>
              <w:t xml:space="preserve"> Integration Samples</w:t>
            </w:r>
          </w:p>
        </w:tc>
        <w:tc>
          <w:tcPr>
            <w:tcW w:w="4608" w:type="dxa"/>
          </w:tcPr>
          <w:p w:rsidR="005B07FB" w:rsidRDefault="004F73E6" w:rsidP="004F73E6">
            <w:r>
              <w:t>These are the values read from the Integrator/Digitizer Modules.  These can be used in the future to observe small losses hard to see in the longer time scale representations</w:t>
            </w:r>
          </w:p>
        </w:tc>
      </w:tr>
      <w:tr w:rsidR="005B07FB" w:rsidTr="004F73E6">
        <w:tc>
          <w:tcPr>
            <w:tcW w:w="1246" w:type="dxa"/>
          </w:tcPr>
          <w:p w:rsidR="005B07FB" w:rsidRDefault="005B07FB" w:rsidP="00857C84">
            <w:r>
              <w:lastRenderedPageBreak/>
              <w:t>B:BLMxxx</w:t>
            </w:r>
          </w:p>
        </w:tc>
        <w:tc>
          <w:tcPr>
            <w:tcW w:w="3722" w:type="dxa"/>
          </w:tcPr>
          <w:p w:rsidR="005B07FB" w:rsidRDefault="005B07FB" w:rsidP="00857C84">
            <w:r w:rsidRPr="00A05992">
              <w:rPr>
                <w:rFonts w:cs="Arial"/>
              </w:rPr>
              <w:t>Full Cycle Sampled Accumulations</w:t>
            </w:r>
          </w:p>
        </w:tc>
        <w:tc>
          <w:tcPr>
            <w:tcW w:w="4608" w:type="dxa"/>
          </w:tcPr>
          <w:p w:rsidR="005B07FB" w:rsidRDefault="004F73E6" w:rsidP="00CA0FF3">
            <w:r>
              <w:t>This data is what is delivered to ACNET for snapshot plots and parameter pages</w:t>
            </w:r>
            <w:r w:rsidR="00CA0FF3">
              <w:t>.  These are</w:t>
            </w:r>
            <w:r w:rsidR="00CA0FF3">
              <w:rPr>
                <w:rFonts w:cs="Arial"/>
              </w:rPr>
              <w:t xml:space="preserve"> </w:t>
            </w:r>
            <w:r w:rsidR="00CA0FF3" w:rsidRPr="00A05992">
              <w:rPr>
                <w:rFonts w:cs="Arial"/>
              </w:rPr>
              <w:t>running sum</w:t>
            </w:r>
            <w:r w:rsidR="00CA0FF3">
              <w:rPr>
                <w:rFonts w:cs="Arial"/>
              </w:rPr>
              <w:t>s</w:t>
            </w:r>
            <w:r w:rsidR="00CA0FF3" w:rsidRPr="00A05992">
              <w:rPr>
                <w:rFonts w:cs="Arial"/>
              </w:rPr>
              <w:t xml:space="preserve"> of the 80 </w:t>
            </w:r>
            <w:proofErr w:type="spellStart"/>
            <w:r w:rsidR="00CA0FF3">
              <w:rPr>
                <w:rFonts w:cs="Arial"/>
              </w:rPr>
              <w:t>μs</w:t>
            </w:r>
            <w:proofErr w:type="spellEnd"/>
            <w:r w:rsidR="00CA0FF3" w:rsidRPr="00A05992">
              <w:rPr>
                <w:rFonts w:cs="Arial"/>
              </w:rPr>
              <w:t xml:space="preserve"> samples over a single Booster cycle</w:t>
            </w:r>
          </w:p>
        </w:tc>
      </w:tr>
      <w:tr w:rsidR="005B07FB" w:rsidTr="004F73E6">
        <w:tc>
          <w:tcPr>
            <w:tcW w:w="1246" w:type="dxa"/>
          </w:tcPr>
          <w:p w:rsidR="005B07FB" w:rsidRDefault="004F73E6" w:rsidP="00857C84">
            <w:r>
              <w:t>B:BLxxx0</w:t>
            </w:r>
          </w:p>
        </w:tc>
        <w:tc>
          <w:tcPr>
            <w:tcW w:w="3722" w:type="dxa"/>
          </w:tcPr>
          <w:p w:rsidR="005B07FB" w:rsidRDefault="004F73E6" w:rsidP="00857C84">
            <w:r w:rsidRPr="00A05992">
              <w:rPr>
                <w:rFonts w:cs="Arial"/>
              </w:rPr>
              <w:t>100 Second Moving Sums</w:t>
            </w:r>
          </w:p>
        </w:tc>
        <w:tc>
          <w:tcPr>
            <w:tcW w:w="4608" w:type="dxa"/>
          </w:tcPr>
          <w:p w:rsidR="005B07FB" w:rsidRDefault="004F73E6" w:rsidP="00857C84">
            <w:r>
              <w:t>These are used for control room bar graph displays and abort alarms.</w:t>
            </w:r>
            <w:r w:rsidR="00857C84">
              <w:t xml:space="preserve">  These devices contain sums of the total losses recorded on all beam resets (event 10's) during the last 100 seconds and update every 17 seconds</w:t>
            </w:r>
          </w:p>
        </w:tc>
      </w:tr>
      <w:tr w:rsidR="005B07FB" w:rsidTr="004F73E6">
        <w:tc>
          <w:tcPr>
            <w:tcW w:w="1246" w:type="dxa"/>
          </w:tcPr>
          <w:p w:rsidR="005B07FB" w:rsidRDefault="00857C84" w:rsidP="009C71DB">
            <w:r>
              <w:t>B:BLxxx</w:t>
            </w:r>
            <w:r w:rsidR="009C71DB">
              <w:t>1</w:t>
            </w:r>
          </w:p>
        </w:tc>
        <w:tc>
          <w:tcPr>
            <w:tcW w:w="3722" w:type="dxa"/>
          </w:tcPr>
          <w:p w:rsidR="005B07FB" w:rsidRDefault="00857C84" w:rsidP="009C71DB">
            <w:r w:rsidRPr="00A05992">
              <w:rPr>
                <w:rFonts w:cs="Arial"/>
              </w:rPr>
              <w:t>1 ms Integrated Samples</w:t>
            </w:r>
            <w:r>
              <w:rPr>
                <w:rFonts w:cs="Arial"/>
              </w:rPr>
              <w:t>, Event $1</w:t>
            </w:r>
            <w:r w:rsidR="009C71DB">
              <w:rPr>
                <w:rFonts w:cs="Arial"/>
              </w:rPr>
              <w:t>1</w:t>
            </w:r>
            <w:r>
              <w:rPr>
                <w:rFonts w:cs="Arial"/>
              </w:rPr>
              <w:t xml:space="preserve"> </w:t>
            </w:r>
            <w:r w:rsidR="005D5E83">
              <w:rPr>
                <w:rFonts w:cs="Arial"/>
              </w:rPr>
              <w:t xml:space="preserve">sums </w:t>
            </w:r>
            <w:r>
              <w:rPr>
                <w:rFonts w:cs="Arial"/>
              </w:rPr>
              <w:t>only</w:t>
            </w:r>
          </w:p>
        </w:tc>
        <w:tc>
          <w:tcPr>
            <w:tcW w:w="4608" w:type="dxa"/>
          </w:tcPr>
          <w:p w:rsidR="005B07FB" w:rsidRDefault="00857C84" w:rsidP="00857C84">
            <w:r>
              <w:rPr>
                <w:rFonts w:cs="Arial"/>
              </w:rPr>
              <w:t xml:space="preserve">These </w:t>
            </w:r>
            <w:r w:rsidRPr="00A05992">
              <w:rPr>
                <w:rFonts w:cs="Arial"/>
              </w:rPr>
              <w:t xml:space="preserve">are </w:t>
            </w:r>
            <w:r>
              <w:rPr>
                <w:rFonts w:cs="Arial"/>
              </w:rPr>
              <w:t>used</w:t>
            </w:r>
            <w:r w:rsidRPr="00A05992">
              <w:rPr>
                <w:rFonts w:cs="Arial"/>
              </w:rPr>
              <w:t xml:space="preserve"> for data logging for historical and </w:t>
            </w:r>
            <w:r>
              <w:rPr>
                <w:rFonts w:cs="Arial"/>
              </w:rPr>
              <w:t xml:space="preserve">Booster </w:t>
            </w:r>
            <w:r w:rsidRPr="00A05992">
              <w:rPr>
                <w:rFonts w:cs="Arial"/>
              </w:rPr>
              <w:t>studies purposes</w:t>
            </w:r>
          </w:p>
        </w:tc>
      </w:tr>
      <w:tr w:rsidR="00857C84" w:rsidTr="00D40207">
        <w:tc>
          <w:tcPr>
            <w:tcW w:w="1246" w:type="dxa"/>
          </w:tcPr>
          <w:p w:rsidR="00857C84" w:rsidRDefault="00857C84" w:rsidP="009C71DB">
            <w:r>
              <w:t>B:BLxxx</w:t>
            </w:r>
            <w:r w:rsidR="009C71DB">
              <w:t>2</w:t>
            </w:r>
          </w:p>
        </w:tc>
        <w:tc>
          <w:tcPr>
            <w:tcW w:w="3722" w:type="dxa"/>
          </w:tcPr>
          <w:p w:rsidR="00857C84" w:rsidRDefault="00857C84" w:rsidP="009C71DB">
            <w:r w:rsidRPr="00A05992">
              <w:rPr>
                <w:rFonts w:cs="Arial"/>
              </w:rPr>
              <w:t>1 ms Integrated Samples</w:t>
            </w:r>
            <w:r>
              <w:rPr>
                <w:rFonts w:cs="Arial"/>
              </w:rPr>
              <w:t>, Event $1</w:t>
            </w:r>
            <w:r w:rsidR="009C71DB">
              <w:rPr>
                <w:rFonts w:cs="Arial"/>
              </w:rPr>
              <w:t>2</w:t>
            </w:r>
            <w:r w:rsidR="005D5E83">
              <w:rPr>
                <w:rFonts w:cs="Arial"/>
              </w:rPr>
              <w:t xml:space="preserve"> sums</w:t>
            </w:r>
            <w:r>
              <w:rPr>
                <w:rFonts w:cs="Arial"/>
              </w:rPr>
              <w:t xml:space="preserve"> only</w:t>
            </w:r>
          </w:p>
        </w:tc>
        <w:tc>
          <w:tcPr>
            <w:tcW w:w="4608" w:type="dxa"/>
          </w:tcPr>
          <w:p w:rsidR="00857C84" w:rsidRDefault="00857C84" w:rsidP="00D40207"/>
        </w:tc>
      </w:tr>
      <w:tr w:rsidR="009C71DB" w:rsidTr="00D40207">
        <w:tc>
          <w:tcPr>
            <w:tcW w:w="1246" w:type="dxa"/>
          </w:tcPr>
          <w:p w:rsidR="009C71DB" w:rsidRDefault="009C71DB" w:rsidP="009C71DB">
            <w:r>
              <w:t>B:BLxxx3</w:t>
            </w:r>
          </w:p>
        </w:tc>
        <w:tc>
          <w:tcPr>
            <w:tcW w:w="3722" w:type="dxa"/>
          </w:tcPr>
          <w:p w:rsidR="009C71DB" w:rsidRDefault="009C71DB" w:rsidP="009C71DB">
            <w:r w:rsidRPr="00A05992">
              <w:rPr>
                <w:rFonts w:cs="Arial"/>
              </w:rPr>
              <w:t>1 ms Integrated Samples</w:t>
            </w:r>
            <w:r>
              <w:rPr>
                <w:rFonts w:cs="Arial"/>
              </w:rPr>
              <w:t>, Event $13 sums only</w:t>
            </w:r>
          </w:p>
        </w:tc>
        <w:tc>
          <w:tcPr>
            <w:tcW w:w="4608" w:type="dxa"/>
          </w:tcPr>
          <w:p w:rsidR="009C71DB" w:rsidRDefault="009C71DB" w:rsidP="00D40207"/>
        </w:tc>
      </w:tr>
      <w:tr w:rsidR="009C71DB" w:rsidTr="00D40207">
        <w:tc>
          <w:tcPr>
            <w:tcW w:w="1246" w:type="dxa"/>
          </w:tcPr>
          <w:p w:rsidR="009C71DB" w:rsidRDefault="009C71DB" w:rsidP="009C71DB">
            <w:r>
              <w:t>B:BLxxx4</w:t>
            </w:r>
          </w:p>
        </w:tc>
        <w:tc>
          <w:tcPr>
            <w:tcW w:w="3722" w:type="dxa"/>
          </w:tcPr>
          <w:p w:rsidR="009C71DB" w:rsidRDefault="009C71DB" w:rsidP="009C71DB">
            <w:r w:rsidRPr="00A05992">
              <w:rPr>
                <w:rFonts w:cs="Arial"/>
              </w:rPr>
              <w:t>1 ms Integrated Samples</w:t>
            </w:r>
            <w:r>
              <w:rPr>
                <w:rFonts w:cs="Arial"/>
              </w:rPr>
              <w:t>, Event $14 sums only</w:t>
            </w:r>
          </w:p>
        </w:tc>
        <w:tc>
          <w:tcPr>
            <w:tcW w:w="4608" w:type="dxa"/>
          </w:tcPr>
          <w:p w:rsidR="009C71DB" w:rsidRDefault="009C71DB" w:rsidP="00D40207"/>
        </w:tc>
      </w:tr>
      <w:tr w:rsidR="009C71DB" w:rsidTr="00D40207">
        <w:tc>
          <w:tcPr>
            <w:tcW w:w="1246" w:type="dxa"/>
          </w:tcPr>
          <w:p w:rsidR="009C71DB" w:rsidRDefault="009C71DB" w:rsidP="009C71DB">
            <w:r>
              <w:t>B:BLxxx5</w:t>
            </w:r>
          </w:p>
        </w:tc>
        <w:tc>
          <w:tcPr>
            <w:tcW w:w="3722" w:type="dxa"/>
          </w:tcPr>
          <w:p w:rsidR="009C71DB" w:rsidRDefault="009C71DB" w:rsidP="009C71DB">
            <w:r w:rsidRPr="00A05992">
              <w:rPr>
                <w:rFonts w:cs="Arial"/>
              </w:rPr>
              <w:t>1 ms Integrated Samples</w:t>
            </w:r>
            <w:r>
              <w:rPr>
                <w:rFonts w:cs="Arial"/>
              </w:rPr>
              <w:t>, Event $15 sums only</w:t>
            </w:r>
          </w:p>
        </w:tc>
        <w:tc>
          <w:tcPr>
            <w:tcW w:w="4608" w:type="dxa"/>
          </w:tcPr>
          <w:p w:rsidR="009C71DB" w:rsidRDefault="009C71DB" w:rsidP="00D40207"/>
        </w:tc>
      </w:tr>
      <w:tr w:rsidR="009C71DB" w:rsidTr="00D40207">
        <w:tc>
          <w:tcPr>
            <w:tcW w:w="1246" w:type="dxa"/>
          </w:tcPr>
          <w:p w:rsidR="009C71DB" w:rsidRDefault="009C71DB" w:rsidP="009C71DB">
            <w:r>
              <w:t>B:BLxxx6</w:t>
            </w:r>
          </w:p>
        </w:tc>
        <w:tc>
          <w:tcPr>
            <w:tcW w:w="3722" w:type="dxa"/>
          </w:tcPr>
          <w:p w:rsidR="009C71DB" w:rsidRDefault="009C71DB" w:rsidP="009C71DB">
            <w:r w:rsidRPr="00A05992">
              <w:rPr>
                <w:rFonts w:cs="Arial"/>
              </w:rPr>
              <w:t>1 ms Integrated Samples</w:t>
            </w:r>
            <w:r>
              <w:rPr>
                <w:rFonts w:cs="Arial"/>
              </w:rPr>
              <w:t>, Event $16 sums only</w:t>
            </w:r>
          </w:p>
        </w:tc>
        <w:tc>
          <w:tcPr>
            <w:tcW w:w="4608" w:type="dxa"/>
          </w:tcPr>
          <w:p w:rsidR="009C71DB" w:rsidRDefault="009C71DB" w:rsidP="00D40207"/>
        </w:tc>
      </w:tr>
      <w:tr w:rsidR="009C71DB" w:rsidTr="00D40207">
        <w:tc>
          <w:tcPr>
            <w:tcW w:w="1246" w:type="dxa"/>
          </w:tcPr>
          <w:p w:rsidR="009C71DB" w:rsidRDefault="009C71DB" w:rsidP="009C71DB">
            <w:r>
              <w:t>B:BLxxx7</w:t>
            </w:r>
          </w:p>
        </w:tc>
        <w:tc>
          <w:tcPr>
            <w:tcW w:w="3722" w:type="dxa"/>
          </w:tcPr>
          <w:p w:rsidR="009C71DB" w:rsidRDefault="009C71DB" w:rsidP="009C71DB">
            <w:r w:rsidRPr="00A05992">
              <w:rPr>
                <w:rFonts w:cs="Arial"/>
              </w:rPr>
              <w:t>1 ms Integrated Samples</w:t>
            </w:r>
            <w:r>
              <w:rPr>
                <w:rFonts w:cs="Arial"/>
              </w:rPr>
              <w:t>, Event $17 sums only</w:t>
            </w:r>
          </w:p>
        </w:tc>
        <w:tc>
          <w:tcPr>
            <w:tcW w:w="4608" w:type="dxa"/>
          </w:tcPr>
          <w:p w:rsidR="009C71DB" w:rsidRDefault="009C71DB" w:rsidP="00D40207"/>
        </w:tc>
      </w:tr>
      <w:tr w:rsidR="009C71DB" w:rsidTr="00D40207">
        <w:tc>
          <w:tcPr>
            <w:tcW w:w="1246" w:type="dxa"/>
          </w:tcPr>
          <w:p w:rsidR="009C71DB" w:rsidRDefault="009C71DB" w:rsidP="009C71DB">
            <w:r>
              <w:t>B:BLxxx9</w:t>
            </w:r>
          </w:p>
        </w:tc>
        <w:tc>
          <w:tcPr>
            <w:tcW w:w="3722" w:type="dxa"/>
          </w:tcPr>
          <w:p w:rsidR="009C71DB" w:rsidRDefault="009C71DB" w:rsidP="009C71DB">
            <w:r w:rsidRPr="00A05992">
              <w:rPr>
                <w:rFonts w:cs="Arial"/>
              </w:rPr>
              <w:t>1 ms Integrated Samples</w:t>
            </w:r>
            <w:r>
              <w:rPr>
                <w:rFonts w:cs="Arial"/>
              </w:rPr>
              <w:t>, Event $19 sums only</w:t>
            </w:r>
          </w:p>
        </w:tc>
        <w:tc>
          <w:tcPr>
            <w:tcW w:w="4608" w:type="dxa"/>
          </w:tcPr>
          <w:p w:rsidR="009C71DB" w:rsidRDefault="009C71DB" w:rsidP="00D40207"/>
        </w:tc>
      </w:tr>
      <w:tr w:rsidR="009C71DB" w:rsidTr="00D40207">
        <w:tc>
          <w:tcPr>
            <w:tcW w:w="1246" w:type="dxa"/>
          </w:tcPr>
          <w:p w:rsidR="009C71DB" w:rsidRDefault="009C71DB" w:rsidP="009C71DB">
            <w:r>
              <w:t>B:BLxxxC</w:t>
            </w:r>
          </w:p>
        </w:tc>
        <w:tc>
          <w:tcPr>
            <w:tcW w:w="3722" w:type="dxa"/>
          </w:tcPr>
          <w:p w:rsidR="009C71DB" w:rsidRDefault="009C71DB" w:rsidP="009C71DB">
            <w:r w:rsidRPr="00A05992">
              <w:rPr>
                <w:rFonts w:cs="Arial"/>
              </w:rPr>
              <w:t>1 ms Integrated Samples</w:t>
            </w:r>
            <w:r>
              <w:rPr>
                <w:rFonts w:cs="Arial"/>
              </w:rPr>
              <w:t>, Event $1C sums only</w:t>
            </w:r>
          </w:p>
        </w:tc>
        <w:tc>
          <w:tcPr>
            <w:tcW w:w="4608" w:type="dxa"/>
          </w:tcPr>
          <w:p w:rsidR="009C71DB" w:rsidRDefault="009C71DB" w:rsidP="00D40207"/>
        </w:tc>
      </w:tr>
      <w:tr w:rsidR="009C71DB" w:rsidTr="00D40207">
        <w:tc>
          <w:tcPr>
            <w:tcW w:w="1246" w:type="dxa"/>
          </w:tcPr>
          <w:p w:rsidR="009C71DB" w:rsidRDefault="009C71DB" w:rsidP="009C71DB">
            <w:r>
              <w:t>B:BLxxxD</w:t>
            </w:r>
          </w:p>
        </w:tc>
        <w:tc>
          <w:tcPr>
            <w:tcW w:w="3722" w:type="dxa"/>
          </w:tcPr>
          <w:p w:rsidR="009C71DB" w:rsidRDefault="009C71DB" w:rsidP="009C71DB">
            <w:r w:rsidRPr="00A05992">
              <w:rPr>
                <w:rFonts w:cs="Arial"/>
              </w:rPr>
              <w:t>1 ms Integrated Samples</w:t>
            </w:r>
            <w:r>
              <w:rPr>
                <w:rFonts w:cs="Arial"/>
              </w:rPr>
              <w:t>, Event $1D sums only</w:t>
            </w:r>
          </w:p>
        </w:tc>
        <w:tc>
          <w:tcPr>
            <w:tcW w:w="4608" w:type="dxa"/>
          </w:tcPr>
          <w:p w:rsidR="009C71DB" w:rsidRDefault="009C71DB" w:rsidP="00D40207"/>
        </w:tc>
      </w:tr>
    </w:tbl>
    <w:p w:rsidR="00CE4F46" w:rsidRDefault="00CE4F46" w:rsidP="004F73E6"/>
    <w:p w:rsidR="00FE1000" w:rsidRDefault="00FE1000">
      <w:r>
        <w:br w:type="page"/>
      </w:r>
    </w:p>
    <w:p w:rsidR="00082B59" w:rsidRDefault="00EA0375">
      <w:pPr>
        <w:pStyle w:val="Heading1"/>
        <w:numPr>
          <w:ilvl w:val="0"/>
          <w:numId w:val="0"/>
        </w:numPr>
        <w:ind w:left="360"/>
        <w:rPr>
          <w:rFonts w:eastAsiaTheme="minorEastAsia"/>
        </w:rPr>
      </w:pPr>
      <w:bookmarkStart w:id="4" w:name="_Toc345680810"/>
      <w:r>
        <w:lastRenderedPageBreak/>
        <w:t>Appendix A</w:t>
      </w:r>
      <w:r w:rsidR="00285AA3">
        <w:t xml:space="preserve">:  </w:t>
      </w:r>
      <w:r w:rsidR="00E071F6">
        <w:rPr>
          <w:rFonts w:eastAsiaTheme="minorEastAsia"/>
        </w:rPr>
        <w:t>New BLM Front-End and Integrator / Digitizer Assignments</w:t>
      </w:r>
      <w:bookmarkEnd w:id="4"/>
    </w:p>
    <w:p w:rsidR="00E071F6" w:rsidRDefault="00E071F6" w:rsidP="00E071F6"/>
    <w:p w:rsidR="00AE31AD" w:rsidRDefault="00AE31AD" w:rsidP="00E071F6">
      <w:r>
        <w:t>Booster Gallery Rack -- G01-RR6</w:t>
      </w:r>
    </w:p>
    <w:tbl>
      <w:tblPr>
        <w:tblW w:w="6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46"/>
        <w:gridCol w:w="973"/>
        <w:gridCol w:w="1954"/>
        <w:gridCol w:w="1344"/>
      </w:tblGrid>
      <w:tr w:rsidR="00E071F6" w:rsidRPr="00E071F6" w:rsidTr="00E071F6">
        <w:trPr>
          <w:trHeight w:val="300"/>
        </w:trPr>
        <w:tc>
          <w:tcPr>
            <w:tcW w:w="1600" w:type="dxa"/>
            <w:shd w:val="clear" w:color="auto" w:fill="F2DBDB" w:themeFill="accent2" w:themeFillTint="33"/>
            <w:noWrap/>
            <w:vAlign w:val="bottom"/>
            <w:hideMark/>
          </w:tcPr>
          <w:p w:rsidR="00E071F6" w:rsidRPr="00E071F6" w:rsidRDefault="00E071F6" w:rsidP="00E071F6">
            <w:pPr>
              <w:spacing w:after="0" w:line="240" w:lineRule="auto"/>
              <w:jc w:val="center"/>
              <w:rPr>
                <w:rFonts w:ascii="Calibri" w:eastAsia="Times New Roman" w:hAnsi="Calibri" w:cs="Times New Roman"/>
                <w:i/>
                <w:iCs/>
                <w:color w:val="000000"/>
                <w:sz w:val="22"/>
                <w:u w:val="single"/>
              </w:rPr>
            </w:pPr>
            <w:r w:rsidRPr="00E071F6">
              <w:rPr>
                <w:rFonts w:ascii="Calibri" w:eastAsia="Times New Roman" w:hAnsi="Calibri" w:cs="Times New Roman"/>
                <w:i/>
                <w:iCs/>
                <w:color w:val="000000"/>
                <w:sz w:val="22"/>
                <w:u w:val="single"/>
              </w:rPr>
              <w:t>FE Old/New</w:t>
            </w:r>
          </w:p>
        </w:tc>
        <w:tc>
          <w:tcPr>
            <w:tcW w:w="946" w:type="dxa"/>
            <w:shd w:val="clear" w:color="auto" w:fill="F2DBDB" w:themeFill="accent2" w:themeFillTint="33"/>
            <w:noWrap/>
            <w:vAlign w:val="bottom"/>
            <w:hideMark/>
          </w:tcPr>
          <w:p w:rsidR="00E071F6" w:rsidRPr="00E071F6" w:rsidRDefault="00E071F6"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BLMW1</w:t>
            </w:r>
          </w:p>
        </w:tc>
        <w:tc>
          <w:tcPr>
            <w:tcW w:w="973" w:type="dxa"/>
            <w:shd w:val="clear" w:color="auto" w:fill="F2DBDB" w:themeFill="accent2" w:themeFillTint="33"/>
            <w:noWrap/>
            <w:vAlign w:val="bottom"/>
          </w:tcPr>
          <w:p w:rsidR="00E071F6" w:rsidRPr="00E071F6" w:rsidRDefault="00E071F6" w:rsidP="00E071F6">
            <w:pPr>
              <w:spacing w:after="0" w:line="240" w:lineRule="auto"/>
              <w:rPr>
                <w:rFonts w:ascii="Calibri" w:eastAsia="Times New Roman" w:hAnsi="Calibri" w:cs="Times New Roman"/>
                <w:i/>
                <w:iCs/>
                <w:color w:val="000000"/>
                <w:sz w:val="22"/>
              </w:rPr>
            </w:pPr>
          </w:p>
        </w:tc>
        <w:tc>
          <w:tcPr>
            <w:tcW w:w="1954" w:type="dxa"/>
            <w:shd w:val="clear" w:color="auto" w:fill="F2DBDB" w:themeFill="accent2" w:themeFillTint="33"/>
            <w:noWrap/>
            <w:vAlign w:val="bottom"/>
            <w:hideMark/>
          </w:tcPr>
          <w:p w:rsidR="00E071F6" w:rsidRPr="00E071F6" w:rsidRDefault="00E071F6" w:rsidP="00E071F6">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BLMW1P</w:t>
            </w:r>
          </w:p>
        </w:tc>
        <w:tc>
          <w:tcPr>
            <w:tcW w:w="1344" w:type="dxa"/>
            <w:shd w:val="clear" w:color="auto" w:fill="F2DBDB" w:themeFill="accent2" w:themeFillTint="33"/>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r>
      <w:tr w:rsidR="00E071F6" w:rsidRPr="00D40207" w:rsidTr="00E071F6">
        <w:trPr>
          <w:trHeight w:val="300"/>
        </w:trPr>
        <w:tc>
          <w:tcPr>
            <w:tcW w:w="1600" w:type="dxa"/>
            <w:shd w:val="clear" w:color="auto" w:fill="auto"/>
            <w:noWrap/>
            <w:vAlign w:val="bottom"/>
          </w:tcPr>
          <w:p w:rsidR="00E071F6" w:rsidRPr="00D40207"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tcPr>
          <w:p w:rsidR="00E071F6" w:rsidRPr="00E071F6" w:rsidRDefault="00E071F6" w:rsidP="00D40207">
            <w:pPr>
              <w:spacing w:after="0" w:line="240" w:lineRule="auto"/>
              <w:rPr>
                <w:rFonts w:ascii="Calibri" w:eastAsia="Times New Roman" w:hAnsi="Calibri" w:cs="Times New Roman"/>
                <w:iCs/>
                <w:color w:val="000000"/>
                <w:sz w:val="22"/>
              </w:rPr>
            </w:pPr>
            <w:r w:rsidRPr="00E071F6">
              <w:rPr>
                <w:rFonts w:ascii="Calibri" w:eastAsia="Times New Roman" w:hAnsi="Calibri" w:cs="Times New Roman"/>
                <w:color w:val="000000"/>
                <w:sz w:val="22"/>
              </w:rPr>
              <w:t>Channel</w:t>
            </w:r>
          </w:p>
        </w:tc>
        <w:tc>
          <w:tcPr>
            <w:tcW w:w="973" w:type="dxa"/>
            <w:shd w:val="clear" w:color="auto" w:fill="auto"/>
            <w:noWrap/>
            <w:vAlign w:val="bottom"/>
          </w:tcPr>
          <w:p w:rsidR="00E071F6" w:rsidRPr="00D40207" w:rsidRDefault="00E071F6" w:rsidP="00E071F6">
            <w:pPr>
              <w:spacing w:after="0" w:line="240" w:lineRule="auto"/>
              <w:rPr>
                <w:rFonts w:ascii="Calibri" w:eastAsia="Times New Roman" w:hAnsi="Calibri" w:cs="Times New Roman"/>
                <w:color w:val="000000"/>
                <w:sz w:val="22"/>
              </w:rPr>
            </w:pPr>
          </w:p>
        </w:tc>
        <w:tc>
          <w:tcPr>
            <w:tcW w:w="1954" w:type="dxa"/>
            <w:shd w:val="clear" w:color="auto" w:fill="auto"/>
            <w:noWrap/>
            <w:vAlign w:val="bottom"/>
          </w:tcPr>
          <w:p w:rsidR="00E071F6" w:rsidRPr="00E071F6" w:rsidRDefault="00E071F6" w:rsidP="00D40207">
            <w:pPr>
              <w:spacing w:after="0" w:line="240" w:lineRule="auto"/>
              <w:rPr>
                <w:rFonts w:ascii="Calibri" w:eastAsia="Times New Roman" w:hAnsi="Calibri" w:cs="Times New Roman"/>
                <w:color w:val="000000"/>
                <w:sz w:val="22"/>
              </w:rPr>
            </w:pPr>
            <w:r w:rsidRPr="00D40207">
              <w:rPr>
                <w:rFonts w:ascii="Calibri" w:eastAsia="Times New Roman" w:hAnsi="Calibri" w:cs="Times New Roman"/>
                <w:color w:val="000000"/>
                <w:sz w:val="22"/>
              </w:rPr>
              <w:t>ACNET Name</w:t>
            </w:r>
          </w:p>
        </w:tc>
        <w:tc>
          <w:tcPr>
            <w:tcW w:w="1344" w:type="dxa"/>
            <w:shd w:val="clear" w:color="auto" w:fill="auto"/>
            <w:noWrap/>
            <w:vAlign w:val="bottom"/>
          </w:tcPr>
          <w:p w:rsidR="00E071F6" w:rsidRPr="00D40207"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Board</w:t>
            </w:r>
            <w:r w:rsidRPr="00D40207">
              <w:rPr>
                <w:rFonts w:ascii="Calibri" w:eastAsia="Times New Roman" w:hAnsi="Calibri" w:cs="Times New Roman"/>
                <w:color w:val="000000"/>
                <w:sz w:val="22"/>
              </w:rPr>
              <w:t>-</w:t>
            </w:r>
            <w:r w:rsidRPr="00E071F6">
              <w:rPr>
                <w:rFonts w:ascii="Calibri" w:eastAsia="Times New Roman" w:hAnsi="Calibri" w:cs="Times New Roman"/>
                <w:color w:val="000000"/>
                <w:sz w:val="22"/>
              </w:rPr>
              <w:t>Chan.</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:0200</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IRMS05</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B:BLMS05</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BD0-0</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:0201</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IRML05</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B:BLML05</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BD0-1</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:0202</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IRMS04</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B:BLMS04</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BD0-2</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:0203</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IRML04</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B:BLML04</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BD0-3</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:0204</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IRMS03</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B:BLMS03</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BD1-0</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:0205</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IRML03</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B:BLML03</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BD1-1</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:0206</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IRMS02</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B:BLMS02</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BD1-2</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:0207</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IRML02</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B:BLML02</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BD1-3</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:0208</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IRMS01</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B:BLMS01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BD2-0</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:0209</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IRML01</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B:BLML01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BD2-1</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:020A</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IRMS24</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B:BLMS24</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BD2-2</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:020B</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IRML24</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B:BLML24</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BD2-3</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 </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r>
      <w:tr w:rsidR="00E071F6" w:rsidRPr="00E071F6" w:rsidTr="00E071F6">
        <w:trPr>
          <w:trHeight w:val="300"/>
        </w:trPr>
        <w:tc>
          <w:tcPr>
            <w:tcW w:w="1600" w:type="dxa"/>
            <w:shd w:val="clear" w:color="auto" w:fill="F2DBDB" w:themeFill="accent2" w:themeFillTint="33"/>
            <w:noWrap/>
            <w:vAlign w:val="bottom"/>
            <w:hideMark/>
          </w:tcPr>
          <w:p w:rsidR="00E071F6" w:rsidRPr="00E071F6" w:rsidRDefault="00E071F6" w:rsidP="00D40207">
            <w:pPr>
              <w:spacing w:after="0" w:line="240" w:lineRule="auto"/>
              <w:jc w:val="center"/>
              <w:rPr>
                <w:rFonts w:ascii="Calibri" w:eastAsia="Times New Roman" w:hAnsi="Calibri" w:cs="Times New Roman"/>
                <w:i/>
                <w:iCs/>
                <w:color w:val="000000"/>
                <w:sz w:val="22"/>
                <w:u w:val="single"/>
              </w:rPr>
            </w:pPr>
            <w:r w:rsidRPr="00E071F6">
              <w:rPr>
                <w:rFonts w:ascii="Calibri" w:eastAsia="Times New Roman" w:hAnsi="Calibri" w:cs="Times New Roman"/>
                <w:i/>
                <w:iCs/>
                <w:color w:val="000000"/>
                <w:sz w:val="22"/>
                <w:u w:val="single"/>
              </w:rPr>
              <w:t>FE Old/New</w:t>
            </w:r>
          </w:p>
        </w:tc>
        <w:tc>
          <w:tcPr>
            <w:tcW w:w="946" w:type="dxa"/>
            <w:shd w:val="clear" w:color="auto" w:fill="F2DBDB" w:themeFill="accent2" w:themeFillTint="33"/>
            <w:noWrap/>
            <w:vAlign w:val="bottom"/>
            <w:hideMark/>
          </w:tcPr>
          <w:p w:rsidR="00E071F6" w:rsidRPr="00E071F6" w:rsidRDefault="00E071F6"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BLML3</w:t>
            </w:r>
          </w:p>
        </w:tc>
        <w:tc>
          <w:tcPr>
            <w:tcW w:w="973" w:type="dxa"/>
            <w:shd w:val="clear" w:color="auto" w:fill="F2DBDB" w:themeFill="accent2" w:themeFillTint="33"/>
            <w:noWrap/>
            <w:vAlign w:val="bottom"/>
          </w:tcPr>
          <w:p w:rsidR="00E071F6" w:rsidRPr="00E071F6" w:rsidRDefault="00E071F6" w:rsidP="00E071F6">
            <w:pPr>
              <w:spacing w:after="0" w:line="240" w:lineRule="auto"/>
              <w:rPr>
                <w:rFonts w:ascii="Calibri" w:eastAsia="Times New Roman" w:hAnsi="Calibri" w:cs="Times New Roman"/>
                <w:i/>
                <w:iCs/>
                <w:color w:val="000000"/>
                <w:sz w:val="22"/>
              </w:rPr>
            </w:pPr>
          </w:p>
        </w:tc>
        <w:tc>
          <w:tcPr>
            <w:tcW w:w="1954" w:type="dxa"/>
            <w:shd w:val="clear" w:color="auto" w:fill="F2DBDB" w:themeFill="accent2" w:themeFillTint="33"/>
            <w:noWrap/>
            <w:vAlign w:val="bottom"/>
            <w:hideMark/>
          </w:tcPr>
          <w:p w:rsidR="00E071F6" w:rsidRPr="00E071F6" w:rsidRDefault="00E071F6"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BLMW1P</w:t>
            </w:r>
          </w:p>
        </w:tc>
        <w:tc>
          <w:tcPr>
            <w:tcW w:w="1344" w:type="dxa"/>
            <w:shd w:val="clear" w:color="auto" w:fill="F2DBDB" w:themeFill="accent2" w:themeFillTint="33"/>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bookmarkStart w:id="5" w:name="RANGE!C49:E62"/>
            <w:r w:rsidRPr="00E071F6">
              <w:rPr>
                <w:rFonts w:ascii="Calibri" w:eastAsia="Times New Roman" w:hAnsi="Calibri" w:cs="Times New Roman"/>
                <w:color w:val="000000"/>
                <w:sz w:val="22"/>
              </w:rPr>
              <w:t>:0200</w:t>
            </w:r>
            <w:bookmarkEnd w:id="5"/>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IRM021</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B:BLM021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BD3-0</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:0201</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IRM011</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B:BLM011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BD3-1</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:0202</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IRM023</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B:BLM023</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BD3-2</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:0203</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IRM024</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B:BLM024</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BD3-3</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:0204</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IRM025</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B:BLM025</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BD4-0</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:0205</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IRM026</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B:BLM026</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BD4-1</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:0206</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IRMCHG</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B:BLM051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BD4-2</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:0207</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BLML47</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B:BLM052</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BD4-3</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:0208</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IRM051</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B:BLM061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BD5-0</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:0209</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IRM052</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B:BLM062</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BD5-1</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:020A</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IRM061</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B:BLM063</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BD5-2</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:020B</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IRM062</w:t>
            </w:r>
          </w:p>
        </w:tc>
        <w:tc>
          <w:tcPr>
            <w:tcW w:w="1954" w:type="dxa"/>
            <w:shd w:val="clear" w:color="000000" w:fill="DCE6F1"/>
            <w:noWrap/>
            <w:vAlign w:val="bottom"/>
            <w:hideMark/>
          </w:tcPr>
          <w:p w:rsidR="00E071F6" w:rsidRPr="00E071F6" w:rsidRDefault="00E071F6" w:rsidP="00E071F6">
            <w:pPr>
              <w:spacing w:after="0" w:line="240" w:lineRule="auto"/>
              <w:jc w:val="center"/>
              <w:rPr>
                <w:rFonts w:ascii="Calibri" w:eastAsia="Times New Roman" w:hAnsi="Calibri" w:cs="Times New Roman"/>
                <w:color w:val="000000"/>
                <w:sz w:val="22"/>
              </w:rPr>
            </w:pPr>
            <w:r w:rsidRPr="00E071F6">
              <w:rPr>
                <w:rFonts w:ascii="Calibri" w:eastAsia="Times New Roman" w:hAnsi="Calibri" w:cs="Times New Roman"/>
                <w:color w:val="000000"/>
                <w:sz w:val="22"/>
              </w:rPr>
              <w:t>B:BLM071</w:t>
            </w: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BD5-3</w:t>
            </w: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:020C</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IRM071</w:t>
            </w:r>
          </w:p>
        </w:tc>
        <w:tc>
          <w:tcPr>
            <w:tcW w:w="195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r>
      <w:tr w:rsidR="00E071F6" w:rsidRPr="00E071F6" w:rsidTr="00E071F6">
        <w:trPr>
          <w:trHeight w:val="300"/>
        </w:trPr>
        <w:tc>
          <w:tcPr>
            <w:tcW w:w="1600"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:020D</w:t>
            </w:r>
          </w:p>
        </w:tc>
        <w:tc>
          <w:tcPr>
            <w:tcW w:w="973"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IRM072</w:t>
            </w:r>
          </w:p>
        </w:tc>
        <w:tc>
          <w:tcPr>
            <w:tcW w:w="195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c>
          <w:tcPr>
            <w:tcW w:w="1344" w:type="dxa"/>
            <w:shd w:val="clear" w:color="auto" w:fill="auto"/>
            <w:noWrap/>
            <w:vAlign w:val="bottom"/>
            <w:hideMark/>
          </w:tcPr>
          <w:p w:rsidR="00E071F6" w:rsidRPr="00E071F6" w:rsidRDefault="00E071F6" w:rsidP="00E071F6">
            <w:pPr>
              <w:spacing w:after="0" w:line="240" w:lineRule="auto"/>
              <w:rPr>
                <w:rFonts w:ascii="Calibri" w:eastAsia="Times New Roman" w:hAnsi="Calibri" w:cs="Times New Roman"/>
                <w:color w:val="000000"/>
                <w:sz w:val="22"/>
              </w:rPr>
            </w:pPr>
          </w:p>
        </w:tc>
      </w:tr>
    </w:tbl>
    <w:p w:rsidR="00AE31AD" w:rsidRDefault="00AE31AD" w:rsidP="00E071F6"/>
    <w:p w:rsidR="00AE31AD" w:rsidRDefault="00AE31AD" w:rsidP="00AE31AD">
      <w:r>
        <w:br w:type="page"/>
      </w:r>
    </w:p>
    <w:p w:rsidR="00E071F6" w:rsidRDefault="00AE31AD" w:rsidP="00E071F6">
      <w:r>
        <w:lastRenderedPageBreak/>
        <w:t>Booster Gallery Rack – G11-RR6</w:t>
      </w:r>
    </w:p>
    <w:tbl>
      <w:tblPr>
        <w:tblW w:w="6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46"/>
        <w:gridCol w:w="973"/>
        <w:gridCol w:w="1954"/>
        <w:gridCol w:w="1344"/>
      </w:tblGrid>
      <w:tr w:rsidR="00D40207" w:rsidRPr="00E071F6" w:rsidTr="00D40207">
        <w:trPr>
          <w:trHeight w:val="300"/>
        </w:trPr>
        <w:tc>
          <w:tcPr>
            <w:tcW w:w="1600" w:type="dxa"/>
            <w:shd w:val="clear" w:color="auto" w:fill="F2DBDB" w:themeFill="accent2" w:themeFillTint="33"/>
            <w:noWrap/>
            <w:vAlign w:val="bottom"/>
            <w:hideMark/>
          </w:tcPr>
          <w:p w:rsidR="00D40207" w:rsidRPr="00E071F6" w:rsidRDefault="00D40207" w:rsidP="00D40207">
            <w:pPr>
              <w:spacing w:after="0" w:line="240" w:lineRule="auto"/>
              <w:jc w:val="center"/>
              <w:rPr>
                <w:rFonts w:ascii="Calibri" w:eastAsia="Times New Roman" w:hAnsi="Calibri" w:cs="Times New Roman"/>
                <w:i/>
                <w:iCs/>
                <w:color w:val="000000"/>
                <w:sz w:val="22"/>
                <w:u w:val="single"/>
              </w:rPr>
            </w:pPr>
            <w:r w:rsidRPr="00E071F6">
              <w:rPr>
                <w:rFonts w:ascii="Calibri" w:eastAsia="Times New Roman" w:hAnsi="Calibri" w:cs="Times New Roman"/>
                <w:i/>
                <w:iCs/>
                <w:color w:val="000000"/>
                <w:sz w:val="22"/>
                <w:u w:val="single"/>
              </w:rPr>
              <w:t>FE Old/New</w:t>
            </w:r>
          </w:p>
        </w:tc>
        <w:tc>
          <w:tcPr>
            <w:tcW w:w="946"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t>
            </w:r>
            <w:r>
              <w:rPr>
                <w:rFonts w:ascii="Calibri" w:eastAsia="Times New Roman" w:hAnsi="Calibri" w:cs="Times New Roman"/>
                <w:i/>
                <w:iCs/>
                <w:color w:val="000000"/>
                <w:sz w:val="22"/>
              </w:rPr>
              <w:t>E</w:t>
            </w:r>
            <w:r w:rsidRPr="00E071F6">
              <w:rPr>
                <w:rFonts w:ascii="Calibri" w:eastAsia="Times New Roman" w:hAnsi="Calibri" w:cs="Times New Roman"/>
                <w:i/>
                <w:iCs/>
                <w:color w:val="000000"/>
                <w:sz w:val="22"/>
              </w:rPr>
              <w:t>1</w:t>
            </w:r>
          </w:p>
        </w:tc>
        <w:tc>
          <w:tcPr>
            <w:tcW w:w="973" w:type="dxa"/>
            <w:shd w:val="clear" w:color="auto" w:fill="F2DBDB" w:themeFill="accent2" w:themeFillTint="33"/>
            <w:noWrap/>
            <w:vAlign w:val="bottom"/>
          </w:tcPr>
          <w:p w:rsidR="00D40207" w:rsidRPr="00E071F6" w:rsidRDefault="00D40207" w:rsidP="00D40207">
            <w:pPr>
              <w:spacing w:after="0" w:line="240" w:lineRule="auto"/>
              <w:rPr>
                <w:rFonts w:ascii="Calibri" w:eastAsia="Times New Roman" w:hAnsi="Calibri" w:cs="Times New Roman"/>
                <w:i/>
                <w:iCs/>
                <w:color w:val="000000"/>
                <w:sz w:val="22"/>
              </w:rPr>
            </w:pPr>
          </w:p>
        </w:tc>
        <w:tc>
          <w:tcPr>
            <w:tcW w:w="1954"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t>
            </w:r>
            <w:r>
              <w:rPr>
                <w:rFonts w:ascii="Calibri" w:eastAsia="Times New Roman" w:hAnsi="Calibri" w:cs="Times New Roman"/>
                <w:i/>
                <w:iCs/>
                <w:color w:val="000000"/>
                <w:sz w:val="22"/>
              </w:rPr>
              <w:t>E</w:t>
            </w:r>
            <w:r w:rsidRPr="00E071F6">
              <w:rPr>
                <w:rFonts w:ascii="Calibri" w:eastAsia="Times New Roman" w:hAnsi="Calibri" w:cs="Times New Roman"/>
                <w:i/>
                <w:iCs/>
                <w:color w:val="000000"/>
                <w:sz w:val="22"/>
              </w:rPr>
              <w:t>1P</w:t>
            </w:r>
          </w:p>
        </w:tc>
        <w:tc>
          <w:tcPr>
            <w:tcW w:w="1344"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r>
      <w:tr w:rsidR="00D40207" w:rsidRPr="00E071F6" w:rsidTr="00D40207">
        <w:trPr>
          <w:trHeight w:val="300"/>
        </w:trPr>
        <w:tc>
          <w:tcPr>
            <w:tcW w:w="1600"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color w:val="000000"/>
                <w:sz w:val="22"/>
              </w:rPr>
              <w:t>Channel</w:t>
            </w:r>
          </w:p>
        </w:tc>
        <w:tc>
          <w:tcPr>
            <w:tcW w:w="973"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p>
        </w:tc>
        <w:tc>
          <w:tcPr>
            <w:tcW w:w="1954"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ACNET Name</w:t>
            </w:r>
          </w:p>
        </w:tc>
        <w:tc>
          <w:tcPr>
            <w:tcW w:w="1344"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Board-Chan.</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:0200</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11</w:t>
            </w:r>
          </w:p>
        </w:tc>
        <w:tc>
          <w:tcPr>
            <w:tcW w:w="1954" w:type="dxa"/>
            <w:shd w:val="clear" w:color="000000" w:fill="DCE6F1"/>
            <w:noWrap/>
            <w:hideMark/>
          </w:tcPr>
          <w:p w:rsidR="00D40207" w:rsidRPr="00D40207" w:rsidRDefault="00D40207" w:rsidP="00D40207">
            <w:pPr>
              <w:spacing w:after="0"/>
              <w:rPr>
                <w:sz w:val="22"/>
              </w:rPr>
            </w:pPr>
            <w:r w:rsidRPr="00D40207">
              <w:rPr>
                <w:sz w:val="22"/>
              </w:rPr>
              <w:t>B:BLMS11</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:0201</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11</w:t>
            </w:r>
          </w:p>
        </w:tc>
        <w:tc>
          <w:tcPr>
            <w:tcW w:w="1954" w:type="dxa"/>
            <w:shd w:val="clear" w:color="000000" w:fill="DCE6F1"/>
            <w:noWrap/>
            <w:hideMark/>
          </w:tcPr>
          <w:p w:rsidR="00D40207" w:rsidRPr="00D40207" w:rsidRDefault="00D40207" w:rsidP="00D40207">
            <w:pPr>
              <w:spacing w:after="0"/>
              <w:rPr>
                <w:sz w:val="22"/>
              </w:rPr>
            </w:pPr>
            <w:r w:rsidRPr="00D40207">
              <w:rPr>
                <w:sz w:val="22"/>
              </w:rPr>
              <w:t>B:BLML11</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:0202</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10</w:t>
            </w:r>
          </w:p>
        </w:tc>
        <w:tc>
          <w:tcPr>
            <w:tcW w:w="1954" w:type="dxa"/>
            <w:shd w:val="clear" w:color="000000" w:fill="DCE6F1"/>
            <w:noWrap/>
            <w:hideMark/>
          </w:tcPr>
          <w:p w:rsidR="00D40207" w:rsidRPr="00D40207" w:rsidRDefault="00D40207" w:rsidP="00D40207">
            <w:pPr>
              <w:spacing w:after="0"/>
              <w:rPr>
                <w:sz w:val="22"/>
              </w:rPr>
            </w:pPr>
            <w:r w:rsidRPr="00D40207">
              <w:rPr>
                <w:sz w:val="22"/>
              </w:rPr>
              <w:t>B:BLMS10</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:0203</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10</w:t>
            </w:r>
          </w:p>
        </w:tc>
        <w:tc>
          <w:tcPr>
            <w:tcW w:w="1954" w:type="dxa"/>
            <w:shd w:val="clear" w:color="000000" w:fill="DCE6F1"/>
            <w:noWrap/>
            <w:hideMark/>
          </w:tcPr>
          <w:p w:rsidR="00D40207" w:rsidRPr="00D40207" w:rsidRDefault="00D40207" w:rsidP="00D40207">
            <w:pPr>
              <w:spacing w:after="0"/>
              <w:rPr>
                <w:sz w:val="22"/>
              </w:rPr>
            </w:pPr>
            <w:r w:rsidRPr="00D40207">
              <w:rPr>
                <w:sz w:val="22"/>
              </w:rPr>
              <w:t>B:BLML10</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BD0-3</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:0204</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w:t>
            </w:r>
            <w:r>
              <w:rPr>
                <w:rFonts w:ascii="Calibri" w:eastAsia="Times New Roman" w:hAnsi="Calibri" w:cs="Times New Roman"/>
                <w:color w:val="000000"/>
                <w:sz w:val="22"/>
              </w:rPr>
              <w:t>9</w:t>
            </w:r>
          </w:p>
        </w:tc>
        <w:tc>
          <w:tcPr>
            <w:tcW w:w="1954" w:type="dxa"/>
            <w:shd w:val="clear" w:color="000000" w:fill="DCE6F1"/>
            <w:noWrap/>
            <w:hideMark/>
          </w:tcPr>
          <w:p w:rsidR="00D40207" w:rsidRPr="00D40207" w:rsidRDefault="00D40207" w:rsidP="00D40207">
            <w:pPr>
              <w:spacing w:after="0"/>
              <w:rPr>
                <w:sz w:val="22"/>
              </w:rPr>
            </w:pPr>
            <w:r w:rsidRPr="00D40207">
              <w:rPr>
                <w:sz w:val="22"/>
              </w:rPr>
              <w:t>B:BLMS09</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:0205</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w:t>
            </w:r>
            <w:r>
              <w:rPr>
                <w:rFonts w:ascii="Calibri" w:eastAsia="Times New Roman" w:hAnsi="Calibri" w:cs="Times New Roman"/>
                <w:color w:val="000000"/>
                <w:sz w:val="22"/>
              </w:rPr>
              <w:t>9</w:t>
            </w:r>
          </w:p>
        </w:tc>
        <w:tc>
          <w:tcPr>
            <w:tcW w:w="1954" w:type="dxa"/>
            <w:shd w:val="clear" w:color="000000" w:fill="DCE6F1"/>
            <w:noWrap/>
            <w:hideMark/>
          </w:tcPr>
          <w:p w:rsidR="00D40207" w:rsidRPr="00D40207" w:rsidRDefault="00D40207" w:rsidP="00D40207">
            <w:pPr>
              <w:spacing w:after="0"/>
              <w:rPr>
                <w:sz w:val="22"/>
              </w:rPr>
            </w:pPr>
            <w:r w:rsidRPr="00D40207">
              <w:rPr>
                <w:sz w:val="22"/>
              </w:rPr>
              <w:t>B:BLML09</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:0206</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w:t>
            </w:r>
            <w:r>
              <w:rPr>
                <w:rFonts w:ascii="Calibri" w:eastAsia="Times New Roman" w:hAnsi="Calibri" w:cs="Times New Roman"/>
                <w:color w:val="000000"/>
                <w:sz w:val="22"/>
              </w:rPr>
              <w:t>8</w:t>
            </w:r>
          </w:p>
        </w:tc>
        <w:tc>
          <w:tcPr>
            <w:tcW w:w="1954" w:type="dxa"/>
            <w:shd w:val="clear" w:color="000000" w:fill="DCE6F1"/>
            <w:noWrap/>
            <w:hideMark/>
          </w:tcPr>
          <w:p w:rsidR="00D40207" w:rsidRPr="00D40207" w:rsidRDefault="00D40207" w:rsidP="00D40207">
            <w:pPr>
              <w:spacing w:after="0"/>
              <w:rPr>
                <w:sz w:val="22"/>
              </w:rPr>
            </w:pPr>
            <w:r w:rsidRPr="00D40207">
              <w:rPr>
                <w:sz w:val="22"/>
              </w:rPr>
              <w:t>B:BLMS08</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:0207</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w:t>
            </w:r>
            <w:r>
              <w:rPr>
                <w:rFonts w:ascii="Calibri" w:eastAsia="Times New Roman" w:hAnsi="Calibri" w:cs="Times New Roman"/>
                <w:color w:val="000000"/>
                <w:sz w:val="22"/>
              </w:rPr>
              <w:t>8</w:t>
            </w:r>
          </w:p>
        </w:tc>
        <w:tc>
          <w:tcPr>
            <w:tcW w:w="1954" w:type="dxa"/>
            <w:shd w:val="clear" w:color="000000" w:fill="DCE6F1"/>
            <w:noWrap/>
            <w:hideMark/>
          </w:tcPr>
          <w:p w:rsidR="00D40207" w:rsidRPr="00D40207" w:rsidRDefault="00D40207" w:rsidP="00D40207">
            <w:pPr>
              <w:spacing w:after="0"/>
              <w:rPr>
                <w:sz w:val="22"/>
              </w:rPr>
            </w:pPr>
            <w:r w:rsidRPr="00D40207">
              <w:rPr>
                <w:sz w:val="22"/>
              </w:rPr>
              <w:t>B:BLML08</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BD1-3</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:0208</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IRMS0</w:t>
            </w:r>
            <w:r>
              <w:rPr>
                <w:rFonts w:ascii="Calibri" w:eastAsia="Times New Roman" w:hAnsi="Calibri" w:cs="Times New Roman"/>
                <w:color w:val="000000"/>
                <w:sz w:val="22"/>
              </w:rPr>
              <w:t>7</w:t>
            </w:r>
          </w:p>
        </w:tc>
        <w:tc>
          <w:tcPr>
            <w:tcW w:w="1954" w:type="dxa"/>
            <w:shd w:val="clear" w:color="000000" w:fill="DCE6F1"/>
            <w:noWrap/>
            <w:hideMark/>
          </w:tcPr>
          <w:p w:rsidR="00D40207" w:rsidRPr="00D40207" w:rsidRDefault="00D40207" w:rsidP="00D40207">
            <w:pPr>
              <w:spacing w:after="0"/>
              <w:rPr>
                <w:sz w:val="22"/>
              </w:rPr>
            </w:pPr>
            <w:r w:rsidRPr="00D40207">
              <w:rPr>
                <w:sz w:val="22"/>
              </w:rPr>
              <w:t>B:BLMS07</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:0209</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IRML0</w:t>
            </w:r>
            <w:r>
              <w:rPr>
                <w:rFonts w:ascii="Calibri" w:eastAsia="Times New Roman" w:hAnsi="Calibri" w:cs="Times New Roman"/>
                <w:color w:val="000000"/>
                <w:sz w:val="22"/>
              </w:rPr>
              <w:t>7</w:t>
            </w:r>
          </w:p>
        </w:tc>
        <w:tc>
          <w:tcPr>
            <w:tcW w:w="1954" w:type="dxa"/>
            <w:shd w:val="clear" w:color="000000" w:fill="DCE6F1"/>
            <w:noWrap/>
            <w:hideMark/>
          </w:tcPr>
          <w:p w:rsidR="00D40207" w:rsidRPr="00D40207" w:rsidRDefault="00D40207" w:rsidP="00D40207">
            <w:pPr>
              <w:spacing w:after="0"/>
              <w:rPr>
                <w:sz w:val="22"/>
              </w:rPr>
            </w:pPr>
            <w:r w:rsidRPr="00D40207">
              <w:rPr>
                <w:sz w:val="22"/>
              </w:rPr>
              <w:t>B:BLML07</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:020A</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06</w:t>
            </w:r>
          </w:p>
        </w:tc>
        <w:tc>
          <w:tcPr>
            <w:tcW w:w="1954" w:type="dxa"/>
            <w:shd w:val="clear" w:color="000000" w:fill="DCE6F1"/>
            <w:noWrap/>
            <w:hideMark/>
          </w:tcPr>
          <w:p w:rsidR="00D40207" w:rsidRPr="00D40207" w:rsidRDefault="00D40207" w:rsidP="00D40207">
            <w:pPr>
              <w:spacing w:after="0"/>
              <w:rPr>
                <w:sz w:val="22"/>
              </w:rPr>
            </w:pPr>
            <w:r w:rsidRPr="00D40207">
              <w:rPr>
                <w:sz w:val="22"/>
              </w:rPr>
              <w:t>B:BLMS06</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:020B</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06</w:t>
            </w:r>
          </w:p>
        </w:tc>
        <w:tc>
          <w:tcPr>
            <w:tcW w:w="1954" w:type="dxa"/>
            <w:shd w:val="clear" w:color="000000" w:fill="DCE6F1"/>
            <w:noWrap/>
            <w:hideMark/>
          </w:tcPr>
          <w:p w:rsidR="00D40207" w:rsidRPr="00D40207" w:rsidRDefault="00D40207" w:rsidP="00D40207">
            <w:pPr>
              <w:spacing w:after="0"/>
              <w:rPr>
                <w:sz w:val="22"/>
              </w:rPr>
            </w:pPr>
            <w:r w:rsidRPr="00D40207">
              <w:rPr>
                <w:sz w:val="22"/>
              </w:rPr>
              <w:t>B:BLML06</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BD2-3</w:t>
            </w:r>
          </w:p>
        </w:tc>
      </w:tr>
    </w:tbl>
    <w:p w:rsidR="00D40207" w:rsidRDefault="00D40207" w:rsidP="00E071F6"/>
    <w:p w:rsidR="00AE31AD" w:rsidRDefault="00AE31AD" w:rsidP="00E071F6">
      <w:r>
        <w:t>Booster Gallery Rack – G17-RR2</w:t>
      </w:r>
    </w:p>
    <w:tbl>
      <w:tblPr>
        <w:tblW w:w="6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46"/>
        <w:gridCol w:w="973"/>
        <w:gridCol w:w="1954"/>
        <w:gridCol w:w="1344"/>
      </w:tblGrid>
      <w:tr w:rsidR="00D40207" w:rsidRPr="00E071F6" w:rsidTr="00D40207">
        <w:trPr>
          <w:trHeight w:val="300"/>
        </w:trPr>
        <w:tc>
          <w:tcPr>
            <w:tcW w:w="1600" w:type="dxa"/>
            <w:shd w:val="clear" w:color="auto" w:fill="F2DBDB" w:themeFill="accent2" w:themeFillTint="33"/>
            <w:noWrap/>
            <w:vAlign w:val="bottom"/>
            <w:hideMark/>
          </w:tcPr>
          <w:p w:rsidR="00D40207" w:rsidRPr="00E071F6" w:rsidRDefault="00D40207" w:rsidP="00D40207">
            <w:pPr>
              <w:spacing w:after="0" w:line="240" w:lineRule="auto"/>
              <w:jc w:val="center"/>
              <w:rPr>
                <w:rFonts w:ascii="Calibri" w:eastAsia="Times New Roman" w:hAnsi="Calibri" w:cs="Times New Roman"/>
                <w:i/>
                <w:iCs/>
                <w:color w:val="000000"/>
                <w:sz w:val="22"/>
                <w:u w:val="single"/>
              </w:rPr>
            </w:pPr>
            <w:r w:rsidRPr="00E071F6">
              <w:rPr>
                <w:rFonts w:ascii="Calibri" w:eastAsia="Times New Roman" w:hAnsi="Calibri" w:cs="Times New Roman"/>
                <w:i/>
                <w:iCs/>
                <w:color w:val="000000"/>
                <w:sz w:val="22"/>
                <w:u w:val="single"/>
              </w:rPr>
              <w:t>FE Old/New</w:t>
            </w:r>
          </w:p>
        </w:tc>
        <w:tc>
          <w:tcPr>
            <w:tcW w:w="946"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t>
            </w:r>
            <w:r>
              <w:rPr>
                <w:rFonts w:ascii="Calibri" w:eastAsia="Times New Roman" w:hAnsi="Calibri" w:cs="Times New Roman"/>
                <w:i/>
                <w:iCs/>
                <w:color w:val="000000"/>
                <w:sz w:val="22"/>
              </w:rPr>
              <w:t>E2</w:t>
            </w:r>
          </w:p>
        </w:tc>
        <w:tc>
          <w:tcPr>
            <w:tcW w:w="973" w:type="dxa"/>
            <w:shd w:val="clear" w:color="auto" w:fill="F2DBDB" w:themeFill="accent2" w:themeFillTint="33"/>
            <w:noWrap/>
            <w:vAlign w:val="bottom"/>
          </w:tcPr>
          <w:p w:rsidR="00D40207" w:rsidRPr="00E071F6" w:rsidRDefault="00D40207" w:rsidP="00D40207">
            <w:pPr>
              <w:spacing w:after="0" w:line="240" w:lineRule="auto"/>
              <w:rPr>
                <w:rFonts w:ascii="Calibri" w:eastAsia="Times New Roman" w:hAnsi="Calibri" w:cs="Times New Roman"/>
                <w:i/>
                <w:iCs/>
                <w:color w:val="000000"/>
                <w:sz w:val="22"/>
              </w:rPr>
            </w:pPr>
          </w:p>
        </w:tc>
        <w:tc>
          <w:tcPr>
            <w:tcW w:w="1954"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t>
            </w:r>
            <w:r>
              <w:rPr>
                <w:rFonts w:ascii="Calibri" w:eastAsia="Times New Roman" w:hAnsi="Calibri" w:cs="Times New Roman"/>
                <w:i/>
                <w:iCs/>
                <w:color w:val="000000"/>
                <w:sz w:val="22"/>
              </w:rPr>
              <w:t>E2</w:t>
            </w:r>
            <w:r w:rsidRPr="00E071F6">
              <w:rPr>
                <w:rFonts w:ascii="Calibri" w:eastAsia="Times New Roman" w:hAnsi="Calibri" w:cs="Times New Roman"/>
                <w:i/>
                <w:iCs/>
                <w:color w:val="000000"/>
                <w:sz w:val="22"/>
              </w:rPr>
              <w:t>P</w:t>
            </w:r>
          </w:p>
        </w:tc>
        <w:tc>
          <w:tcPr>
            <w:tcW w:w="1344"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r>
      <w:tr w:rsidR="00D40207" w:rsidRPr="00E071F6" w:rsidTr="00D40207">
        <w:trPr>
          <w:trHeight w:val="300"/>
        </w:trPr>
        <w:tc>
          <w:tcPr>
            <w:tcW w:w="1600"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color w:val="000000"/>
                <w:sz w:val="22"/>
              </w:rPr>
              <w:t>Channel</w:t>
            </w:r>
          </w:p>
        </w:tc>
        <w:tc>
          <w:tcPr>
            <w:tcW w:w="973"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p>
        </w:tc>
        <w:tc>
          <w:tcPr>
            <w:tcW w:w="1954"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ACNET Name</w:t>
            </w:r>
          </w:p>
        </w:tc>
        <w:tc>
          <w:tcPr>
            <w:tcW w:w="1344"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Board-Chan.</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:0200</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17</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17</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:0201</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17</w:t>
            </w:r>
          </w:p>
        </w:tc>
        <w:tc>
          <w:tcPr>
            <w:tcW w:w="1954" w:type="dxa"/>
            <w:shd w:val="clear" w:color="000000" w:fill="DCE6F1"/>
            <w:noWrap/>
            <w:hideMark/>
          </w:tcPr>
          <w:p w:rsidR="00D40207" w:rsidRPr="00D40207" w:rsidRDefault="00D40207" w:rsidP="00D40207">
            <w:pPr>
              <w:spacing w:after="0"/>
              <w:rPr>
                <w:sz w:val="22"/>
              </w:rPr>
            </w:pPr>
            <w:r w:rsidRPr="00D40207">
              <w:rPr>
                <w:sz w:val="22"/>
              </w:rPr>
              <w:t>B:BLML</w:t>
            </w:r>
            <w:r>
              <w:rPr>
                <w:sz w:val="22"/>
              </w:rPr>
              <w:t>17</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:0202</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16</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16</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:0203</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16</w:t>
            </w:r>
          </w:p>
        </w:tc>
        <w:tc>
          <w:tcPr>
            <w:tcW w:w="1954" w:type="dxa"/>
            <w:shd w:val="clear" w:color="000000" w:fill="DCE6F1"/>
            <w:noWrap/>
            <w:hideMark/>
          </w:tcPr>
          <w:p w:rsidR="00D40207" w:rsidRPr="00D40207" w:rsidRDefault="00D40207" w:rsidP="00D40207">
            <w:pPr>
              <w:spacing w:after="0"/>
              <w:rPr>
                <w:sz w:val="22"/>
              </w:rPr>
            </w:pPr>
            <w:r w:rsidRPr="00D40207">
              <w:rPr>
                <w:sz w:val="22"/>
              </w:rPr>
              <w:t>B:BLML</w:t>
            </w:r>
            <w:r>
              <w:rPr>
                <w:sz w:val="22"/>
              </w:rPr>
              <w:t>16</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BD0-3</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:0204</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15</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15</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:0205</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15</w:t>
            </w:r>
          </w:p>
        </w:tc>
        <w:tc>
          <w:tcPr>
            <w:tcW w:w="1954" w:type="dxa"/>
            <w:shd w:val="clear" w:color="000000" w:fill="DCE6F1"/>
            <w:noWrap/>
            <w:hideMark/>
          </w:tcPr>
          <w:p w:rsidR="00D40207" w:rsidRPr="00D40207" w:rsidRDefault="00D40207" w:rsidP="00D40207">
            <w:pPr>
              <w:spacing w:after="0"/>
              <w:rPr>
                <w:sz w:val="22"/>
              </w:rPr>
            </w:pPr>
            <w:r w:rsidRPr="00D40207">
              <w:rPr>
                <w:sz w:val="22"/>
              </w:rPr>
              <w:t>B:BLML</w:t>
            </w:r>
            <w:r>
              <w:rPr>
                <w:sz w:val="22"/>
              </w:rPr>
              <w:t>15</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:0206</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14</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14</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:0207</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14</w:t>
            </w:r>
          </w:p>
        </w:tc>
        <w:tc>
          <w:tcPr>
            <w:tcW w:w="1954" w:type="dxa"/>
            <w:shd w:val="clear" w:color="000000" w:fill="DCE6F1"/>
            <w:noWrap/>
            <w:hideMark/>
          </w:tcPr>
          <w:p w:rsidR="00D40207" w:rsidRPr="00D40207" w:rsidRDefault="00D40207" w:rsidP="00D40207">
            <w:pPr>
              <w:spacing w:after="0"/>
              <w:rPr>
                <w:sz w:val="22"/>
              </w:rPr>
            </w:pPr>
            <w:r w:rsidRPr="00D40207">
              <w:rPr>
                <w:sz w:val="22"/>
              </w:rPr>
              <w:t>B:BLML</w:t>
            </w:r>
            <w:r>
              <w:rPr>
                <w:sz w:val="22"/>
              </w:rPr>
              <w:t>14</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BD1-3</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:0208</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13</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13</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:0209</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13</w:t>
            </w:r>
          </w:p>
        </w:tc>
        <w:tc>
          <w:tcPr>
            <w:tcW w:w="1954" w:type="dxa"/>
            <w:shd w:val="clear" w:color="000000" w:fill="DCE6F1"/>
            <w:noWrap/>
            <w:hideMark/>
          </w:tcPr>
          <w:p w:rsidR="00D40207" w:rsidRPr="00D40207" w:rsidRDefault="00D40207" w:rsidP="00D40207">
            <w:pPr>
              <w:spacing w:after="0"/>
              <w:rPr>
                <w:sz w:val="22"/>
              </w:rPr>
            </w:pPr>
            <w:r w:rsidRPr="00D40207">
              <w:rPr>
                <w:sz w:val="22"/>
              </w:rPr>
              <w:t>B:BLM</w:t>
            </w:r>
            <w:r>
              <w:rPr>
                <w:sz w:val="22"/>
              </w:rPr>
              <w:t>13</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:020A</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12</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12</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:020B</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12</w:t>
            </w:r>
          </w:p>
        </w:tc>
        <w:tc>
          <w:tcPr>
            <w:tcW w:w="1954" w:type="dxa"/>
            <w:shd w:val="clear" w:color="000000" w:fill="DCE6F1"/>
            <w:noWrap/>
            <w:hideMark/>
          </w:tcPr>
          <w:p w:rsidR="00D40207" w:rsidRPr="00D40207" w:rsidRDefault="00D40207" w:rsidP="00D40207">
            <w:pPr>
              <w:spacing w:after="0"/>
              <w:rPr>
                <w:sz w:val="22"/>
              </w:rPr>
            </w:pPr>
            <w:r w:rsidRPr="00D40207">
              <w:rPr>
                <w:sz w:val="22"/>
              </w:rPr>
              <w:t>B:BLML</w:t>
            </w:r>
            <w:r>
              <w:rPr>
                <w:sz w:val="22"/>
              </w:rPr>
              <w:t>12</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BD2-3</w:t>
            </w:r>
          </w:p>
        </w:tc>
      </w:tr>
    </w:tbl>
    <w:p w:rsidR="00AE31AD" w:rsidRDefault="00AE31AD" w:rsidP="00D40207"/>
    <w:p w:rsidR="00AE31AD" w:rsidRDefault="00AE31AD" w:rsidP="00AE31AD">
      <w:r>
        <w:br w:type="page"/>
      </w:r>
    </w:p>
    <w:p w:rsidR="00D40207" w:rsidRPr="00E071F6" w:rsidRDefault="00AE31AD" w:rsidP="00D40207">
      <w:r>
        <w:lastRenderedPageBreak/>
        <w:t>Booster Gallery Rack – G20-RR1</w:t>
      </w:r>
    </w:p>
    <w:tbl>
      <w:tblPr>
        <w:tblW w:w="6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46"/>
        <w:gridCol w:w="973"/>
        <w:gridCol w:w="1954"/>
        <w:gridCol w:w="1344"/>
      </w:tblGrid>
      <w:tr w:rsidR="00D40207" w:rsidRPr="00E071F6" w:rsidTr="00D40207">
        <w:trPr>
          <w:trHeight w:val="300"/>
        </w:trPr>
        <w:tc>
          <w:tcPr>
            <w:tcW w:w="1600" w:type="dxa"/>
            <w:shd w:val="clear" w:color="auto" w:fill="F2DBDB" w:themeFill="accent2" w:themeFillTint="33"/>
            <w:noWrap/>
            <w:vAlign w:val="bottom"/>
            <w:hideMark/>
          </w:tcPr>
          <w:p w:rsidR="00D40207" w:rsidRPr="00E071F6" w:rsidRDefault="00D40207" w:rsidP="00D40207">
            <w:pPr>
              <w:spacing w:after="0" w:line="240" w:lineRule="auto"/>
              <w:jc w:val="center"/>
              <w:rPr>
                <w:rFonts w:ascii="Calibri" w:eastAsia="Times New Roman" w:hAnsi="Calibri" w:cs="Times New Roman"/>
                <w:i/>
                <w:iCs/>
                <w:color w:val="000000"/>
                <w:sz w:val="22"/>
                <w:u w:val="single"/>
              </w:rPr>
            </w:pPr>
            <w:r w:rsidRPr="00E071F6">
              <w:rPr>
                <w:rFonts w:ascii="Calibri" w:eastAsia="Times New Roman" w:hAnsi="Calibri" w:cs="Times New Roman"/>
                <w:i/>
                <w:iCs/>
                <w:color w:val="000000"/>
                <w:sz w:val="22"/>
                <w:u w:val="single"/>
              </w:rPr>
              <w:t>FE Old/New</w:t>
            </w:r>
          </w:p>
        </w:tc>
        <w:tc>
          <w:tcPr>
            <w:tcW w:w="946"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t>
            </w:r>
            <w:r>
              <w:rPr>
                <w:rFonts w:ascii="Calibri" w:eastAsia="Times New Roman" w:hAnsi="Calibri" w:cs="Times New Roman"/>
                <w:i/>
                <w:iCs/>
                <w:color w:val="000000"/>
                <w:sz w:val="22"/>
              </w:rPr>
              <w:t>E2</w:t>
            </w:r>
          </w:p>
        </w:tc>
        <w:tc>
          <w:tcPr>
            <w:tcW w:w="973" w:type="dxa"/>
            <w:shd w:val="clear" w:color="auto" w:fill="F2DBDB" w:themeFill="accent2" w:themeFillTint="33"/>
            <w:noWrap/>
            <w:vAlign w:val="bottom"/>
          </w:tcPr>
          <w:p w:rsidR="00D40207" w:rsidRPr="00E071F6" w:rsidRDefault="00D40207" w:rsidP="00D40207">
            <w:pPr>
              <w:spacing w:after="0" w:line="240" w:lineRule="auto"/>
              <w:rPr>
                <w:rFonts w:ascii="Calibri" w:eastAsia="Times New Roman" w:hAnsi="Calibri" w:cs="Times New Roman"/>
                <w:i/>
                <w:iCs/>
                <w:color w:val="000000"/>
                <w:sz w:val="22"/>
              </w:rPr>
            </w:pPr>
          </w:p>
        </w:tc>
        <w:tc>
          <w:tcPr>
            <w:tcW w:w="1954"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i/>
                <w:iCs/>
                <w:color w:val="000000"/>
                <w:sz w:val="22"/>
              </w:rPr>
              <w:t>BLM</w:t>
            </w:r>
            <w:r>
              <w:rPr>
                <w:rFonts w:ascii="Calibri" w:eastAsia="Times New Roman" w:hAnsi="Calibri" w:cs="Times New Roman"/>
                <w:i/>
                <w:iCs/>
                <w:color w:val="000000"/>
                <w:sz w:val="22"/>
              </w:rPr>
              <w:t>E2</w:t>
            </w:r>
            <w:r w:rsidRPr="00E071F6">
              <w:rPr>
                <w:rFonts w:ascii="Calibri" w:eastAsia="Times New Roman" w:hAnsi="Calibri" w:cs="Times New Roman"/>
                <w:i/>
                <w:iCs/>
                <w:color w:val="000000"/>
                <w:sz w:val="22"/>
              </w:rPr>
              <w:t>P</w:t>
            </w:r>
          </w:p>
        </w:tc>
        <w:tc>
          <w:tcPr>
            <w:tcW w:w="1344" w:type="dxa"/>
            <w:shd w:val="clear" w:color="auto" w:fill="F2DBDB" w:themeFill="accent2" w:themeFillTint="33"/>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r>
      <w:tr w:rsidR="00D40207" w:rsidRPr="00E071F6" w:rsidTr="00D40207">
        <w:trPr>
          <w:trHeight w:val="300"/>
        </w:trPr>
        <w:tc>
          <w:tcPr>
            <w:tcW w:w="1600"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i/>
                <w:iCs/>
                <w:color w:val="000000"/>
                <w:sz w:val="22"/>
              </w:rPr>
            </w:pPr>
            <w:r w:rsidRPr="00E071F6">
              <w:rPr>
                <w:rFonts w:ascii="Calibri" w:eastAsia="Times New Roman" w:hAnsi="Calibri" w:cs="Times New Roman"/>
                <w:color w:val="000000"/>
                <w:sz w:val="22"/>
              </w:rPr>
              <w:t>Channel</w:t>
            </w:r>
          </w:p>
        </w:tc>
        <w:tc>
          <w:tcPr>
            <w:tcW w:w="973"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p>
        </w:tc>
        <w:tc>
          <w:tcPr>
            <w:tcW w:w="1954"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ACNET Name</w:t>
            </w:r>
          </w:p>
        </w:tc>
        <w:tc>
          <w:tcPr>
            <w:tcW w:w="1344" w:type="dxa"/>
            <w:shd w:val="clear" w:color="auto" w:fill="auto"/>
            <w:noWrap/>
            <w:vAlign w:val="bottom"/>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Board-Chan.</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:0200</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23</w:t>
            </w:r>
          </w:p>
        </w:tc>
        <w:tc>
          <w:tcPr>
            <w:tcW w:w="1954" w:type="dxa"/>
            <w:shd w:val="clear" w:color="000000" w:fill="DCE6F1"/>
            <w:noWrap/>
            <w:hideMark/>
          </w:tcPr>
          <w:p w:rsidR="00D40207" w:rsidRPr="00D40207" w:rsidRDefault="00D40207" w:rsidP="00742DCD">
            <w:pPr>
              <w:spacing w:after="0"/>
              <w:rPr>
                <w:sz w:val="22"/>
              </w:rPr>
            </w:pPr>
            <w:r w:rsidRPr="00D40207">
              <w:rPr>
                <w:sz w:val="22"/>
              </w:rPr>
              <w:t>B:BLMS</w:t>
            </w:r>
            <w:r w:rsidR="00742DCD">
              <w:rPr>
                <w:sz w:val="22"/>
              </w:rPr>
              <w:t>23</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:0201</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23</w:t>
            </w:r>
          </w:p>
        </w:tc>
        <w:tc>
          <w:tcPr>
            <w:tcW w:w="1954" w:type="dxa"/>
            <w:shd w:val="clear" w:color="000000" w:fill="DCE6F1"/>
            <w:noWrap/>
            <w:hideMark/>
          </w:tcPr>
          <w:p w:rsidR="00D40207" w:rsidRPr="00D40207" w:rsidRDefault="00D40207" w:rsidP="00742DCD">
            <w:pPr>
              <w:spacing w:after="0"/>
              <w:rPr>
                <w:sz w:val="22"/>
              </w:rPr>
            </w:pPr>
            <w:r w:rsidRPr="00D40207">
              <w:rPr>
                <w:sz w:val="22"/>
              </w:rPr>
              <w:t>B:BLML</w:t>
            </w:r>
            <w:r w:rsidR="00742DCD">
              <w:rPr>
                <w:sz w:val="22"/>
              </w:rPr>
              <w:t>23</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:0202</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22</w:t>
            </w:r>
          </w:p>
        </w:tc>
        <w:tc>
          <w:tcPr>
            <w:tcW w:w="1954" w:type="dxa"/>
            <w:shd w:val="clear" w:color="000000" w:fill="DCE6F1"/>
            <w:noWrap/>
            <w:hideMark/>
          </w:tcPr>
          <w:p w:rsidR="00D40207" w:rsidRPr="00D40207" w:rsidRDefault="00D40207" w:rsidP="00742DCD">
            <w:pPr>
              <w:spacing w:after="0"/>
              <w:rPr>
                <w:sz w:val="22"/>
              </w:rPr>
            </w:pPr>
            <w:r w:rsidRPr="00D40207">
              <w:rPr>
                <w:sz w:val="22"/>
              </w:rPr>
              <w:t>B:BLMS</w:t>
            </w:r>
            <w:r w:rsidR="00742DCD">
              <w:rPr>
                <w:sz w:val="22"/>
              </w:rPr>
              <w:t>22</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:0203</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22</w:t>
            </w:r>
          </w:p>
        </w:tc>
        <w:tc>
          <w:tcPr>
            <w:tcW w:w="1954" w:type="dxa"/>
            <w:shd w:val="clear" w:color="000000" w:fill="DCE6F1"/>
            <w:noWrap/>
            <w:hideMark/>
          </w:tcPr>
          <w:p w:rsidR="00D40207" w:rsidRPr="00D40207" w:rsidRDefault="00D40207" w:rsidP="00742DCD">
            <w:pPr>
              <w:spacing w:after="0"/>
              <w:rPr>
                <w:sz w:val="22"/>
              </w:rPr>
            </w:pPr>
            <w:r w:rsidRPr="00D40207">
              <w:rPr>
                <w:sz w:val="22"/>
              </w:rPr>
              <w:t>B:BLML</w:t>
            </w:r>
            <w:r w:rsidR="00742DCD">
              <w:rPr>
                <w:sz w:val="22"/>
              </w:rPr>
              <w:t>22</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BD0-3</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:0204</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21</w:t>
            </w:r>
          </w:p>
        </w:tc>
        <w:tc>
          <w:tcPr>
            <w:tcW w:w="1954" w:type="dxa"/>
            <w:shd w:val="clear" w:color="000000" w:fill="DCE6F1"/>
            <w:noWrap/>
            <w:hideMark/>
          </w:tcPr>
          <w:p w:rsidR="00D40207" w:rsidRPr="00D40207" w:rsidRDefault="00D40207" w:rsidP="00742DCD">
            <w:pPr>
              <w:spacing w:after="0"/>
              <w:rPr>
                <w:sz w:val="22"/>
              </w:rPr>
            </w:pPr>
            <w:r w:rsidRPr="00D40207">
              <w:rPr>
                <w:sz w:val="22"/>
              </w:rPr>
              <w:t>B:BLMS</w:t>
            </w:r>
            <w:r w:rsidR="00742DCD">
              <w:rPr>
                <w:sz w:val="22"/>
              </w:rPr>
              <w:t>21</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:0205</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21</w:t>
            </w:r>
          </w:p>
        </w:tc>
        <w:tc>
          <w:tcPr>
            <w:tcW w:w="1954" w:type="dxa"/>
            <w:shd w:val="clear" w:color="000000" w:fill="DCE6F1"/>
            <w:noWrap/>
            <w:hideMark/>
          </w:tcPr>
          <w:p w:rsidR="00D40207" w:rsidRPr="00D40207" w:rsidRDefault="00D40207" w:rsidP="00742DCD">
            <w:pPr>
              <w:spacing w:after="0"/>
              <w:rPr>
                <w:sz w:val="22"/>
              </w:rPr>
            </w:pPr>
            <w:r w:rsidRPr="00D40207">
              <w:rPr>
                <w:sz w:val="22"/>
              </w:rPr>
              <w:t>B:BLML</w:t>
            </w:r>
            <w:r w:rsidR="00742DCD">
              <w:rPr>
                <w:sz w:val="22"/>
              </w:rPr>
              <w:t>21</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:0206</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20</w:t>
            </w:r>
          </w:p>
        </w:tc>
        <w:tc>
          <w:tcPr>
            <w:tcW w:w="1954" w:type="dxa"/>
            <w:shd w:val="clear" w:color="000000" w:fill="DCE6F1"/>
            <w:noWrap/>
            <w:hideMark/>
          </w:tcPr>
          <w:p w:rsidR="00D40207" w:rsidRPr="00D40207" w:rsidRDefault="00D40207" w:rsidP="00742DCD">
            <w:pPr>
              <w:spacing w:after="0"/>
              <w:rPr>
                <w:sz w:val="22"/>
              </w:rPr>
            </w:pPr>
            <w:r w:rsidRPr="00D40207">
              <w:rPr>
                <w:sz w:val="22"/>
              </w:rPr>
              <w:t>B:BLMS</w:t>
            </w:r>
            <w:r w:rsidR="00742DCD">
              <w:rPr>
                <w:sz w:val="22"/>
              </w:rPr>
              <w:t>20</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:0207</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20</w:t>
            </w:r>
          </w:p>
        </w:tc>
        <w:tc>
          <w:tcPr>
            <w:tcW w:w="1954" w:type="dxa"/>
            <w:shd w:val="clear" w:color="000000" w:fill="DCE6F1"/>
            <w:noWrap/>
            <w:hideMark/>
          </w:tcPr>
          <w:p w:rsidR="00D40207" w:rsidRPr="00D40207" w:rsidRDefault="00D40207" w:rsidP="00742DCD">
            <w:pPr>
              <w:spacing w:after="0"/>
              <w:rPr>
                <w:sz w:val="22"/>
              </w:rPr>
            </w:pPr>
            <w:r w:rsidRPr="00D40207">
              <w:rPr>
                <w:sz w:val="22"/>
              </w:rPr>
              <w:t>B:BLML</w:t>
            </w:r>
            <w:r w:rsidR="00742DCD">
              <w:rPr>
                <w:sz w:val="22"/>
              </w:rPr>
              <w:t>20</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BD1-3</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:0208</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19</w:t>
            </w:r>
          </w:p>
        </w:tc>
        <w:tc>
          <w:tcPr>
            <w:tcW w:w="1954" w:type="dxa"/>
            <w:shd w:val="clear" w:color="000000" w:fill="DCE6F1"/>
            <w:noWrap/>
            <w:hideMark/>
          </w:tcPr>
          <w:p w:rsidR="00D40207" w:rsidRPr="00D40207" w:rsidRDefault="00D40207" w:rsidP="00742DCD">
            <w:pPr>
              <w:spacing w:after="0"/>
              <w:rPr>
                <w:sz w:val="22"/>
              </w:rPr>
            </w:pPr>
            <w:r w:rsidRPr="00D40207">
              <w:rPr>
                <w:sz w:val="22"/>
              </w:rPr>
              <w:t>B:BLMS</w:t>
            </w:r>
            <w:r>
              <w:rPr>
                <w:sz w:val="22"/>
              </w:rPr>
              <w:t>1</w:t>
            </w:r>
            <w:r w:rsidR="00742DCD">
              <w:rPr>
                <w:sz w:val="22"/>
              </w:rPr>
              <w:t>9</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BD2-0</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:0209</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19</w:t>
            </w:r>
          </w:p>
        </w:tc>
        <w:tc>
          <w:tcPr>
            <w:tcW w:w="1954" w:type="dxa"/>
            <w:shd w:val="clear" w:color="000000" w:fill="DCE6F1"/>
            <w:noWrap/>
            <w:hideMark/>
          </w:tcPr>
          <w:p w:rsidR="00D40207" w:rsidRPr="00D40207" w:rsidRDefault="00D40207" w:rsidP="00742DCD">
            <w:pPr>
              <w:spacing w:after="0"/>
              <w:rPr>
                <w:sz w:val="22"/>
              </w:rPr>
            </w:pPr>
            <w:r w:rsidRPr="00D40207">
              <w:rPr>
                <w:sz w:val="22"/>
              </w:rPr>
              <w:t>B:BLM</w:t>
            </w:r>
            <w:r w:rsidR="00742DCD">
              <w:rPr>
                <w:sz w:val="22"/>
              </w:rPr>
              <w:t>L</w:t>
            </w:r>
            <w:r>
              <w:rPr>
                <w:sz w:val="22"/>
              </w:rPr>
              <w:t>1</w:t>
            </w:r>
            <w:r w:rsidR="00742DCD">
              <w:rPr>
                <w:sz w:val="22"/>
              </w:rPr>
              <w:t>9</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BD2-1</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:020A</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IRMS</w:t>
            </w:r>
            <w:r>
              <w:rPr>
                <w:rFonts w:ascii="Calibri" w:eastAsia="Times New Roman" w:hAnsi="Calibri" w:cs="Times New Roman"/>
                <w:color w:val="000000"/>
                <w:sz w:val="22"/>
              </w:rPr>
              <w:t>18</w:t>
            </w:r>
          </w:p>
        </w:tc>
        <w:tc>
          <w:tcPr>
            <w:tcW w:w="1954" w:type="dxa"/>
            <w:shd w:val="clear" w:color="000000" w:fill="DCE6F1"/>
            <w:noWrap/>
            <w:hideMark/>
          </w:tcPr>
          <w:p w:rsidR="00D40207" w:rsidRPr="00D40207" w:rsidRDefault="00D40207" w:rsidP="00D40207">
            <w:pPr>
              <w:spacing w:after="0"/>
              <w:rPr>
                <w:sz w:val="22"/>
              </w:rPr>
            </w:pPr>
            <w:r w:rsidRPr="00D40207">
              <w:rPr>
                <w:sz w:val="22"/>
              </w:rPr>
              <w:t>B:BLMS</w:t>
            </w:r>
            <w:r>
              <w:rPr>
                <w:sz w:val="22"/>
              </w:rPr>
              <w:t>18</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BD2-2</w:t>
            </w:r>
          </w:p>
        </w:tc>
      </w:tr>
      <w:tr w:rsidR="00D40207" w:rsidRPr="00E071F6" w:rsidTr="00D40207">
        <w:trPr>
          <w:trHeight w:val="300"/>
        </w:trPr>
        <w:tc>
          <w:tcPr>
            <w:tcW w:w="1600"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p>
        </w:tc>
        <w:tc>
          <w:tcPr>
            <w:tcW w:w="946"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:020B</w:t>
            </w:r>
          </w:p>
        </w:tc>
        <w:tc>
          <w:tcPr>
            <w:tcW w:w="973"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IRML</w:t>
            </w:r>
            <w:r>
              <w:rPr>
                <w:rFonts w:ascii="Calibri" w:eastAsia="Times New Roman" w:hAnsi="Calibri" w:cs="Times New Roman"/>
                <w:color w:val="000000"/>
                <w:sz w:val="22"/>
              </w:rPr>
              <w:t>18</w:t>
            </w:r>
          </w:p>
        </w:tc>
        <w:tc>
          <w:tcPr>
            <w:tcW w:w="1954" w:type="dxa"/>
            <w:shd w:val="clear" w:color="000000" w:fill="DCE6F1"/>
            <w:noWrap/>
            <w:hideMark/>
          </w:tcPr>
          <w:p w:rsidR="00D40207" w:rsidRPr="00D40207" w:rsidRDefault="00D40207" w:rsidP="00D40207">
            <w:pPr>
              <w:spacing w:after="0"/>
              <w:rPr>
                <w:sz w:val="22"/>
              </w:rPr>
            </w:pPr>
            <w:r w:rsidRPr="00D40207">
              <w:rPr>
                <w:sz w:val="22"/>
              </w:rPr>
              <w:t>B:BLML</w:t>
            </w:r>
            <w:r>
              <w:rPr>
                <w:sz w:val="22"/>
              </w:rPr>
              <w:t>18</w:t>
            </w:r>
          </w:p>
        </w:tc>
        <w:tc>
          <w:tcPr>
            <w:tcW w:w="1344" w:type="dxa"/>
            <w:shd w:val="clear" w:color="auto" w:fill="auto"/>
            <w:noWrap/>
            <w:vAlign w:val="bottom"/>
            <w:hideMark/>
          </w:tcPr>
          <w:p w:rsidR="00D40207" w:rsidRPr="00E071F6" w:rsidRDefault="00D40207" w:rsidP="00D40207">
            <w:pPr>
              <w:spacing w:after="0" w:line="240" w:lineRule="auto"/>
              <w:rPr>
                <w:rFonts w:ascii="Calibri" w:eastAsia="Times New Roman" w:hAnsi="Calibri" w:cs="Times New Roman"/>
                <w:color w:val="000000"/>
                <w:sz w:val="22"/>
              </w:rPr>
            </w:pPr>
            <w:r w:rsidRPr="00E071F6">
              <w:rPr>
                <w:rFonts w:ascii="Calibri" w:eastAsia="Times New Roman" w:hAnsi="Calibri" w:cs="Times New Roman"/>
                <w:color w:val="000000"/>
                <w:sz w:val="22"/>
              </w:rPr>
              <w:t>BD2-3</w:t>
            </w:r>
          </w:p>
        </w:tc>
      </w:tr>
    </w:tbl>
    <w:p w:rsidR="00D40207" w:rsidRPr="00E071F6" w:rsidRDefault="00D40207" w:rsidP="00D40207"/>
    <w:p w:rsidR="00FE1000" w:rsidRDefault="00FE1000">
      <w:r>
        <w:br w:type="page"/>
      </w:r>
    </w:p>
    <w:p w:rsidR="00FE1000" w:rsidRDefault="00FE1000" w:rsidP="00FE1000">
      <w:pPr>
        <w:pStyle w:val="Heading1"/>
        <w:numPr>
          <w:ilvl w:val="0"/>
          <w:numId w:val="0"/>
        </w:numPr>
        <w:ind w:left="360"/>
        <w:rPr>
          <w:rFonts w:eastAsiaTheme="minorEastAsia"/>
        </w:rPr>
      </w:pPr>
      <w:bookmarkStart w:id="6" w:name="_Toc345680811"/>
      <w:r>
        <w:lastRenderedPageBreak/>
        <w:t xml:space="preserve">Appendix B:  </w:t>
      </w:r>
      <w:r>
        <w:rPr>
          <w:rFonts w:eastAsiaTheme="minorEastAsia"/>
        </w:rPr>
        <w:t xml:space="preserve">BLM Channel Calibration Coefficients, Alarm Limits and Scale Factor Predictions </w:t>
      </w:r>
      <w:r w:rsidR="00B03051">
        <w:rPr>
          <w:rFonts w:eastAsiaTheme="minorEastAsia"/>
        </w:rPr>
        <w:t>between</w:t>
      </w:r>
      <w:r>
        <w:rPr>
          <w:rFonts w:eastAsiaTheme="minorEastAsia"/>
        </w:rPr>
        <w:t xml:space="preserve"> Old and New Read Back Electronics.</w:t>
      </w:r>
      <w:bookmarkEnd w:id="6"/>
    </w:p>
    <w:p w:rsidR="00FE1000" w:rsidRDefault="00325F47" w:rsidP="00FE1000">
      <w:pPr>
        <w:rPr>
          <w:rFonts w:eastAsiaTheme="minorEastAsia" w:cs="Arial"/>
        </w:rPr>
      </w:pPr>
      <w:r>
        <w:rPr>
          <w:rFonts w:eastAsiaTheme="minorEastAsia" w:cs="Arial"/>
        </w:rPr>
        <w:t>The coefficients C1 and C2 were determined through calibration test performed on the legacy BLM Log Amp Integrators.</w:t>
      </w:r>
      <w:r w:rsidR="00663B86">
        <w:rPr>
          <w:rFonts w:eastAsiaTheme="minorEastAsia" w:cs="Arial"/>
        </w:rPr>
        <w:t xml:space="preserve">  The Rad/Sec Max Limits were taken from the ACNET parameter page B11.  Computation of the scale factor between the old and new readouts can be found in the </w:t>
      </w:r>
      <w:r w:rsidR="002E6768">
        <w:rPr>
          <w:rFonts w:eastAsiaTheme="minorEastAsia" w:cs="Arial"/>
        </w:rPr>
        <w:t>file “</w:t>
      </w:r>
      <w:r w:rsidR="002E6768" w:rsidRPr="002E6768">
        <w:rPr>
          <w:rFonts w:eastAsiaTheme="minorEastAsia" w:cs="Arial"/>
        </w:rPr>
        <w:t>BLMScaling 130114.xlsx</w:t>
      </w:r>
      <w:r w:rsidR="002E6768">
        <w:rPr>
          <w:rFonts w:eastAsiaTheme="minorEastAsia" w:cs="Arial"/>
        </w:rPr>
        <w:t xml:space="preserve">” in the </w:t>
      </w:r>
      <w:r w:rsidR="00663B86">
        <w:rPr>
          <w:rFonts w:eastAsiaTheme="minorEastAsia" w:cs="Arial"/>
        </w:rPr>
        <w:t>DocDB</w:t>
      </w:r>
      <w:bookmarkStart w:id="7" w:name="_GoBack"/>
      <w:bookmarkEnd w:id="7"/>
      <w:r w:rsidR="00663B86">
        <w:rPr>
          <w:rFonts w:eastAsiaTheme="minorEastAsia" w:cs="Arial"/>
        </w:rPr>
        <w:t xml:space="preserve"> database at </w:t>
      </w:r>
      <w:r w:rsidR="002E6768" w:rsidRPr="002E6768">
        <w:rPr>
          <w:rFonts w:eastAsiaTheme="minorEastAsia" w:cs="Arial"/>
        </w:rPr>
        <w:t>Beams-doc-3723</w:t>
      </w:r>
      <w:r w:rsidR="002E6768">
        <w:rPr>
          <w:rFonts w:eastAsiaTheme="minorEastAsia" w:cs="Arial"/>
        </w:rPr>
        <w:t>.</w:t>
      </w:r>
    </w:p>
    <w:tbl>
      <w:tblPr>
        <w:tblW w:w="8920" w:type="dxa"/>
        <w:tblInd w:w="98" w:type="dxa"/>
        <w:tblLook w:val="04A0" w:firstRow="1" w:lastRow="0" w:firstColumn="1" w:lastColumn="0" w:noHBand="0" w:noVBand="1"/>
      </w:tblPr>
      <w:tblGrid>
        <w:gridCol w:w="1148"/>
        <w:gridCol w:w="1348"/>
        <w:gridCol w:w="1348"/>
        <w:gridCol w:w="1386"/>
        <w:gridCol w:w="1890"/>
        <w:gridCol w:w="1800"/>
      </w:tblGrid>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B10070" w:rsidRPr="00F0178E" w:rsidRDefault="00B10070" w:rsidP="00057F47">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Channel</w:t>
            </w:r>
          </w:p>
        </w:tc>
        <w:tc>
          <w:tcPr>
            <w:tcW w:w="13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10070" w:rsidRPr="00F0178E" w:rsidRDefault="00B10070" w:rsidP="00057F47">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C1</w:t>
            </w:r>
          </w:p>
        </w:tc>
        <w:tc>
          <w:tcPr>
            <w:tcW w:w="13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B10070" w:rsidRPr="00F0178E" w:rsidRDefault="00B10070" w:rsidP="00057F47">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C2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663B86">
            <w:pPr>
              <w:spacing w:after="0" w:line="240" w:lineRule="auto"/>
              <w:jc w:val="center"/>
              <w:rPr>
                <w:rFonts w:ascii="Calibri" w:eastAsia="Times New Roman" w:hAnsi="Calibri" w:cs="Times New Roman"/>
                <w:b/>
                <w:bCs/>
                <w:color w:val="000000"/>
              </w:rPr>
            </w:pPr>
            <w:r w:rsidRPr="00F0178E">
              <w:rPr>
                <w:rFonts w:ascii="Calibri" w:eastAsia="Times New Roman" w:hAnsi="Calibri" w:cs="Times New Roman"/>
                <w:b/>
                <w:bCs/>
                <w:color w:val="000000"/>
                <w:sz w:val="22"/>
              </w:rPr>
              <w:t>M</w:t>
            </w:r>
            <w:r>
              <w:rPr>
                <w:rFonts w:ascii="Calibri" w:eastAsia="Times New Roman" w:hAnsi="Calibri" w:cs="Times New Roman"/>
                <w:b/>
                <w:bCs/>
                <w:color w:val="000000"/>
                <w:sz w:val="22"/>
              </w:rPr>
              <w:t xml:space="preserve">, Linear fit </w:t>
            </w:r>
            <w:r w:rsidR="00663B86">
              <w:rPr>
                <w:rFonts w:ascii="Calibri" w:eastAsia="Times New Roman" w:hAnsi="Calibri" w:cs="Times New Roman"/>
                <w:b/>
                <w:bCs/>
                <w:color w:val="000000"/>
                <w:sz w:val="22"/>
              </w:rPr>
              <w:t>Scale Factor</w:t>
            </w:r>
            <w:r>
              <w:rPr>
                <w:rFonts w:ascii="Calibri" w:eastAsia="Times New Roman" w:hAnsi="Calibri" w:cs="Times New Roman"/>
                <w:b/>
                <w:bCs/>
                <w:color w:val="000000"/>
                <w:sz w:val="22"/>
              </w:rPr>
              <w:t>.</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325F47" w:rsidP="00325F4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2"/>
              </w:rPr>
              <w:t xml:space="preserve">100 Sec Sum </w:t>
            </w:r>
            <w:r w:rsidR="00B10070" w:rsidRPr="0037781E">
              <w:rPr>
                <w:rFonts w:ascii="Calibri" w:eastAsia="Times New Roman" w:hAnsi="Calibri" w:cs="Times New Roman"/>
                <w:b/>
                <w:bCs/>
                <w:color w:val="000000"/>
                <w:sz w:val="22"/>
              </w:rPr>
              <w:t xml:space="preserve">Rad/Sec </w:t>
            </w:r>
            <w:r w:rsidR="00B10070">
              <w:rPr>
                <w:rFonts w:ascii="Calibri" w:eastAsia="Times New Roman" w:hAnsi="Calibri" w:cs="Times New Roman"/>
                <w:b/>
                <w:bCs/>
                <w:color w:val="000000"/>
                <w:sz w:val="22"/>
              </w:rPr>
              <w:t xml:space="preserve"> </w:t>
            </w:r>
            <w:r w:rsidR="00B10070" w:rsidRPr="0037781E">
              <w:rPr>
                <w:rFonts w:ascii="Calibri" w:eastAsia="Times New Roman" w:hAnsi="Calibri" w:cs="Times New Roman"/>
                <w:b/>
                <w:bCs/>
                <w:color w:val="000000"/>
                <w:sz w:val="22"/>
              </w:rPr>
              <w:t xml:space="preserve">Max </w:t>
            </w:r>
            <w:r w:rsidR="00B10070">
              <w:rPr>
                <w:rFonts w:ascii="Calibri" w:eastAsia="Times New Roman" w:hAnsi="Calibri" w:cs="Times New Roman"/>
                <w:b/>
                <w:bCs/>
                <w:color w:val="000000"/>
                <w:sz w:val="22"/>
              </w:rPr>
              <w:t xml:space="preserve"> </w:t>
            </w:r>
            <w:r w:rsidR="00B10070" w:rsidRPr="0037781E">
              <w:rPr>
                <w:rFonts w:ascii="Calibri" w:eastAsia="Times New Roman" w:hAnsi="Calibri" w:cs="Times New Roman"/>
                <w:b/>
                <w:bCs/>
                <w:color w:val="000000"/>
                <w:sz w:val="22"/>
              </w:rPr>
              <w:t>Limit</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b/>
                <w:bCs/>
                <w:color w:val="000000"/>
              </w:rPr>
            </w:pPr>
            <w:r w:rsidRPr="00176844">
              <w:rPr>
                <w:rFonts w:ascii="Calibri" w:eastAsia="Times New Roman" w:hAnsi="Calibri" w:cs="Times New Roman"/>
                <w:bCs/>
                <w:i/>
                <w:color w:val="000000"/>
                <w:sz w:val="22"/>
              </w:rPr>
              <w:t>Expected</w:t>
            </w:r>
            <w:r w:rsidRPr="0037781E">
              <w:rPr>
                <w:rFonts w:ascii="Calibri" w:eastAsia="Times New Roman" w:hAnsi="Calibri" w:cs="Times New Roman"/>
                <w:b/>
                <w:bCs/>
                <w:color w:val="000000"/>
                <w:sz w:val="22"/>
              </w:rPr>
              <w:t xml:space="preserve">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 xml:space="preserve">Rad </w:t>
            </w:r>
            <w:r>
              <w:rPr>
                <w:rFonts w:ascii="Calibri" w:eastAsia="Times New Roman" w:hAnsi="Calibri" w:cs="Times New Roman"/>
                <w:b/>
                <w:bCs/>
                <w:color w:val="000000"/>
                <w:sz w:val="22"/>
              </w:rPr>
              <w:t xml:space="preserve"> </w:t>
            </w:r>
            <w:r w:rsidRPr="0037781E">
              <w:rPr>
                <w:rFonts w:ascii="Calibri" w:eastAsia="Times New Roman" w:hAnsi="Calibri" w:cs="Times New Roman"/>
                <w:b/>
                <w:bCs/>
                <w:color w:val="000000"/>
                <w:sz w:val="22"/>
              </w:rPr>
              <w:t>Max Limit</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1.058726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23.138925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4.026557</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6.209</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1.079847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23.613476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4.868800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28</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5.751</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1.066126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23.280417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4.192278</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35.780</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23.813356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5.544046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9.019</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1.085209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23.694054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4.898254</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10.208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1.066535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21.702730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0.785346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763.995</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1.059226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22.162795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1.423333</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280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196.721</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1.056286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22.245239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1.621982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61.653</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1.073892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22.862261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2.401757</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16.654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1.072113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22.896017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2.555346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39.134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1.067870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22.694835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2.199140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28</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12.732</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1.049345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22.790893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3.200770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26</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8.123</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23.106934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3.208474</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155.837</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1.097026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23.695018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4.118009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13.356</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1.110667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23.879618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4.092676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9.774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1.024595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22.345971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2.882238</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17.348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1.055373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22.956385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3.488143</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7.167</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1.040472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23.073156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4.918920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42</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8.538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1.061679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23.379040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4.969242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95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19.118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1.048828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23.145449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4.692994</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75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15.981</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1.042727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23.079758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4.791032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10.436</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1.072445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23.848534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6.964521</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43</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6.174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1.062033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23.405727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5.084851</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9.833</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L24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1.050297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23.093264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4.345596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38</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8.744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22.998315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3.579550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340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94.984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1.075080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23.454829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4.416965</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1300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294.320</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24.161697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6.287340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163</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25.925</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1.088620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23.827456</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5.363447</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18.645</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1.096000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23.783848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4.592772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65.320</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1.055089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22.360708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1.865400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1800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964.940</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1.066470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22.106592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1.205052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165.968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S08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1.056672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22.340495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1.783726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120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67.275</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lastRenderedPageBreak/>
              <w:t>S09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1.094737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23.356804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2.978504</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33.574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22.973435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2.148376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46.547</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1.068449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22.581719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1.934524</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85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43.938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1.101710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23.825023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4.409288</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22.679</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1.089368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23.399598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3.373609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500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148.209</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1.103289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23.739831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3.936461</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118</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29.976</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1.105098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23.767950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3.948408</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190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48.121</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1.084828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23.635577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4.630436</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120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25.915</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1.071826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23.250011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3.731732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120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32.157</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S18</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1.051381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23.191091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4.742779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288</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60.724</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1.103661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24.389953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7.787109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38.525</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1.111293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24.403921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7.060733</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14.163</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1.080141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23.756021</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5.636621</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225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39.918</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1.102112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24.285618</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7.134779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225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31.536</w:t>
            </w:r>
          </w:p>
        </w:tc>
      </w:tr>
      <w:tr w:rsidR="00176844"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1.110512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24.296315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6.374198</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135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21.179</w:t>
            </w:r>
          </w:p>
        </w:tc>
      </w:tr>
      <w:tr w:rsidR="00176844" w:rsidRPr="00F0178E" w:rsidTr="00325F47">
        <w:trPr>
          <w:trHeight w:val="31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S24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0.953993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20.742134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76844" w:rsidRPr="00F0178E" w:rsidRDefault="00176844"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1.501187</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225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176844" w:rsidRDefault="00176844" w:rsidP="00325F47">
            <w:pPr>
              <w:spacing w:after="0"/>
              <w:jc w:val="center"/>
              <w:rPr>
                <w:rFonts w:ascii="Calibri" w:hAnsi="Calibri"/>
                <w:color w:val="000000"/>
                <w:sz w:val="22"/>
              </w:rPr>
            </w:pPr>
            <w:r>
              <w:rPr>
                <w:rFonts w:ascii="Calibri" w:hAnsi="Calibri"/>
                <w:color w:val="000000"/>
                <w:sz w:val="22"/>
              </w:rPr>
              <w:t>149.881</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1.051732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22.157015</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1.580308</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55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34.803</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1.074219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22.391647</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1.452909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68.827</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1.052937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22.577092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2.420949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50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20.653</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25</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1.056401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22.805972</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2.930219</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176844" w:rsidP="00325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22"/>
              </w:rPr>
              <w:t>85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29.008</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26</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1.043974</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22.727813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3.241510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176844" w:rsidP="00325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22"/>
              </w:rPr>
              <w:t>525</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161.962</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1.090309</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24.170073</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7.516283</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500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66.522</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1.085402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23.865600</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5.856105</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1600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273.219</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71</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1.137023</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24.852544</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7.761957</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36.073</w:t>
            </w:r>
          </w:p>
        </w:tc>
      </w:tr>
      <w:tr w:rsidR="00B10070" w:rsidRPr="00F0178E" w:rsidTr="00325F47">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72</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1.118057</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24.430559</w:t>
            </w:r>
          </w:p>
        </w:tc>
        <w:tc>
          <w:tcPr>
            <w:tcW w:w="138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B10070" w:rsidRPr="00F0178E" w:rsidRDefault="00B10070" w:rsidP="00057F47">
            <w:pPr>
              <w:spacing w:after="0" w:line="240" w:lineRule="auto"/>
              <w:jc w:val="center"/>
              <w:rPr>
                <w:rFonts w:ascii="Calibri" w:eastAsia="Times New Roman" w:hAnsi="Calibri" w:cs="Times New Roman"/>
                <w:color w:val="000000"/>
              </w:rPr>
            </w:pPr>
            <w:r w:rsidRPr="00F0178E">
              <w:rPr>
                <w:rFonts w:ascii="Calibri" w:eastAsia="Times New Roman" w:hAnsi="Calibri" w:cs="Times New Roman"/>
                <w:color w:val="000000"/>
                <w:sz w:val="22"/>
              </w:rPr>
              <w:t>6.572250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280</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10070" w:rsidRPr="0037781E" w:rsidRDefault="00B10070" w:rsidP="00325F47">
            <w:pPr>
              <w:spacing w:after="0" w:line="240" w:lineRule="auto"/>
              <w:jc w:val="center"/>
              <w:rPr>
                <w:rFonts w:ascii="Calibri" w:eastAsia="Times New Roman" w:hAnsi="Calibri" w:cs="Times New Roman"/>
                <w:color w:val="000000"/>
              </w:rPr>
            </w:pPr>
            <w:r w:rsidRPr="0037781E">
              <w:rPr>
                <w:rFonts w:ascii="Calibri" w:eastAsia="Times New Roman" w:hAnsi="Calibri" w:cs="Times New Roman"/>
                <w:color w:val="000000"/>
                <w:sz w:val="22"/>
              </w:rPr>
              <w:t>42.603</w:t>
            </w:r>
          </w:p>
        </w:tc>
      </w:tr>
    </w:tbl>
    <w:p w:rsidR="00FE1000" w:rsidRDefault="00FE1000" w:rsidP="00FE1000">
      <w:pPr>
        <w:tabs>
          <w:tab w:val="left" w:pos="720"/>
        </w:tabs>
        <w:suppressAutoHyphens/>
        <w:spacing w:after="240" w:line="240" w:lineRule="auto"/>
        <w:rPr>
          <w:rFonts w:eastAsiaTheme="minorEastAsia" w:cs="Arial"/>
        </w:rPr>
      </w:pPr>
    </w:p>
    <w:p w:rsidR="00FE1000" w:rsidRDefault="00FE1000" w:rsidP="00FE1000">
      <w:pPr>
        <w:tabs>
          <w:tab w:val="left" w:pos="720"/>
        </w:tabs>
        <w:suppressAutoHyphens/>
        <w:spacing w:after="240" w:line="240" w:lineRule="auto"/>
        <w:rPr>
          <w:rFonts w:eastAsiaTheme="minorEastAsia" w:cs="Arial"/>
        </w:rPr>
      </w:pPr>
      <w:r>
        <w:rPr>
          <w:rFonts w:eastAsiaTheme="minorEastAsia" w:cs="Arial"/>
        </w:rPr>
        <w:br w:type="page"/>
      </w:r>
    </w:p>
    <w:p w:rsidR="00FE1000" w:rsidRDefault="00FE1000" w:rsidP="00FE1000">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14:anchorId="7E39B6BF" wp14:editId="0724BD38">
            <wp:extent cx="5130641" cy="6306979"/>
            <wp:effectExtent l="19050" t="0" r="0" b="0"/>
            <wp:docPr id="4" name="Picture 3" descr="ACNET BLM LIMITS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2.GIF"/>
                    <pic:cNvPicPr/>
                  </pic:nvPicPr>
                  <pic:blipFill>
                    <a:blip r:embed="rId10" cstate="print"/>
                    <a:stretch>
                      <a:fillRect/>
                    </a:stretch>
                  </pic:blipFill>
                  <pic:spPr>
                    <a:xfrm>
                      <a:off x="0" y="0"/>
                      <a:ext cx="5130641" cy="6306979"/>
                    </a:xfrm>
                    <a:prstGeom prst="rect">
                      <a:avLst/>
                    </a:prstGeom>
                  </pic:spPr>
                </pic:pic>
              </a:graphicData>
            </a:graphic>
          </wp:inline>
        </w:drawing>
      </w:r>
    </w:p>
    <w:p w:rsidR="00FE1000" w:rsidRDefault="00FE1000" w:rsidP="00FE1000">
      <w:pPr>
        <w:tabs>
          <w:tab w:val="left" w:pos="720"/>
        </w:tabs>
        <w:suppressAutoHyphens/>
        <w:spacing w:after="240" w:line="240" w:lineRule="auto"/>
        <w:rPr>
          <w:rFonts w:eastAsiaTheme="minorEastAsia" w:cs="Arial"/>
        </w:rPr>
      </w:pPr>
      <w:r>
        <w:rPr>
          <w:rFonts w:eastAsiaTheme="minorEastAsia" w:cs="Arial"/>
        </w:rPr>
        <w:t>Alarm Thresholds (</w:t>
      </w:r>
      <w:proofErr w:type="spellStart"/>
      <w:r>
        <w:rPr>
          <w:rFonts w:eastAsiaTheme="minorEastAsia" w:cs="Arial"/>
        </w:rPr>
        <w:t>Rads</w:t>
      </w:r>
      <w:proofErr w:type="spellEnd"/>
      <w:r>
        <w:rPr>
          <w:rFonts w:eastAsiaTheme="minorEastAsia" w:cs="Arial"/>
        </w:rPr>
        <w:t>/Sec) before upgrade</w:t>
      </w:r>
    </w:p>
    <w:p w:rsidR="00FE1000" w:rsidRDefault="00FE1000" w:rsidP="00FE1000">
      <w:pPr>
        <w:tabs>
          <w:tab w:val="left" w:pos="720"/>
        </w:tabs>
        <w:suppressAutoHyphens/>
        <w:spacing w:after="240" w:line="240" w:lineRule="auto"/>
        <w:rPr>
          <w:rFonts w:eastAsiaTheme="minorEastAsia" w:cs="Arial"/>
        </w:rPr>
      </w:pPr>
      <w:r>
        <w:rPr>
          <w:rFonts w:eastAsiaTheme="minorEastAsia" w:cs="Arial"/>
          <w:noProof/>
        </w:rPr>
        <w:lastRenderedPageBreak/>
        <w:drawing>
          <wp:inline distT="0" distB="0" distL="0" distR="0" wp14:anchorId="277BBC2D" wp14:editId="50EED1FA">
            <wp:extent cx="5362575" cy="6629400"/>
            <wp:effectExtent l="19050" t="0" r="9525" b="0"/>
            <wp:docPr id="5" name="Picture 4" descr="ACNET BLM LIMITS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ET BLM LIMITS 1.GIF"/>
                    <pic:cNvPicPr/>
                  </pic:nvPicPr>
                  <pic:blipFill>
                    <a:blip r:embed="rId11" cstate="print"/>
                    <a:stretch>
                      <a:fillRect/>
                    </a:stretch>
                  </pic:blipFill>
                  <pic:spPr>
                    <a:xfrm>
                      <a:off x="0" y="0"/>
                      <a:ext cx="5362575" cy="6629400"/>
                    </a:xfrm>
                    <a:prstGeom prst="rect">
                      <a:avLst/>
                    </a:prstGeom>
                  </pic:spPr>
                </pic:pic>
              </a:graphicData>
            </a:graphic>
          </wp:inline>
        </w:drawing>
      </w:r>
    </w:p>
    <w:p w:rsidR="00FE1000" w:rsidRDefault="00FE1000" w:rsidP="00FE1000">
      <w:pPr>
        <w:tabs>
          <w:tab w:val="left" w:pos="720"/>
        </w:tabs>
        <w:suppressAutoHyphens/>
        <w:spacing w:after="240" w:line="240" w:lineRule="auto"/>
        <w:rPr>
          <w:rFonts w:eastAsiaTheme="minorEastAsia" w:cs="Arial"/>
        </w:rPr>
      </w:pPr>
      <w:r>
        <w:rPr>
          <w:rFonts w:eastAsiaTheme="minorEastAsia" w:cs="Arial"/>
        </w:rPr>
        <w:t>Alarm Thresholds (</w:t>
      </w:r>
      <w:proofErr w:type="spellStart"/>
      <w:r>
        <w:rPr>
          <w:rFonts w:eastAsiaTheme="minorEastAsia" w:cs="Arial"/>
        </w:rPr>
        <w:t>Rads</w:t>
      </w:r>
      <w:proofErr w:type="spellEnd"/>
      <w:r>
        <w:rPr>
          <w:rFonts w:eastAsiaTheme="minorEastAsia" w:cs="Arial"/>
        </w:rPr>
        <w:t>/Sec) before upgrade</w:t>
      </w:r>
    </w:p>
    <w:p w:rsidR="00FE1000" w:rsidRDefault="00FE1000" w:rsidP="00FE1000">
      <w:pPr>
        <w:tabs>
          <w:tab w:val="left" w:pos="720"/>
        </w:tabs>
        <w:suppressAutoHyphens/>
        <w:spacing w:after="240" w:line="240" w:lineRule="auto"/>
        <w:rPr>
          <w:rFonts w:eastAsiaTheme="minorEastAsia" w:cs="Arial"/>
        </w:rPr>
      </w:pPr>
    </w:p>
    <w:p w:rsidR="00FE1000" w:rsidRDefault="00FE1000" w:rsidP="00FE1000">
      <w:r>
        <w:br w:type="page"/>
      </w:r>
    </w:p>
    <w:p w:rsidR="00D40207" w:rsidRPr="00E071F6" w:rsidRDefault="00D40207" w:rsidP="00E071F6"/>
    <w:sectPr w:rsidR="00D40207" w:rsidRPr="00E071F6" w:rsidSect="004537AE">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47" w:rsidRDefault="00057F47" w:rsidP="00987202">
      <w:pPr>
        <w:spacing w:after="0" w:line="240" w:lineRule="auto"/>
      </w:pPr>
      <w:r>
        <w:separator/>
      </w:r>
    </w:p>
  </w:endnote>
  <w:endnote w:type="continuationSeparator" w:id="0">
    <w:p w:rsidR="00057F47" w:rsidRDefault="00057F47" w:rsidP="0098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64080"/>
      <w:docPartObj>
        <w:docPartGallery w:val="Page Numbers (Bottom of Page)"/>
        <w:docPartUnique/>
      </w:docPartObj>
    </w:sdtPr>
    <w:sdtEndPr>
      <w:rPr>
        <w:color w:val="7F7F7F" w:themeColor="background1" w:themeShade="7F"/>
        <w:spacing w:val="60"/>
      </w:rPr>
    </w:sdtEndPr>
    <w:sdtContent>
      <w:p w:rsidR="00057F47" w:rsidRDefault="00057F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3051">
          <w:rPr>
            <w:noProof/>
          </w:rPr>
          <w:t>11</w:t>
        </w:r>
        <w:r>
          <w:rPr>
            <w:noProof/>
          </w:rPr>
          <w:fldChar w:fldCharType="end"/>
        </w:r>
        <w:r>
          <w:t xml:space="preserve"> | </w:t>
        </w:r>
        <w:r>
          <w:rPr>
            <w:color w:val="7F7F7F" w:themeColor="background1" w:themeShade="7F"/>
            <w:spacing w:val="60"/>
          </w:rPr>
          <w:t>Page</w:t>
        </w:r>
      </w:p>
    </w:sdtContent>
  </w:sdt>
  <w:p w:rsidR="00057F47" w:rsidRDefault="00057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47" w:rsidRDefault="00057F47" w:rsidP="00987202">
      <w:pPr>
        <w:spacing w:after="0" w:line="240" w:lineRule="auto"/>
      </w:pPr>
      <w:r>
        <w:separator/>
      </w:r>
    </w:p>
  </w:footnote>
  <w:footnote w:type="continuationSeparator" w:id="0">
    <w:p w:rsidR="00057F47" w:rsidRDefault="00057F47" w:rsidP="00987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682251"/>
    <w:multiLevelType w:val="hybridMultilevel"/>
    <w:tmpl w:val="D3D40540"/>
    <w:lvl w:ilvl="0" w:tplc="358A8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499"/>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A555B"/>
    <w:multiLevelType w:val="hybridMultilevel"/>
    <w:tmpl w:val="836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94AEA"/>
    <w:multiLevelType w:val="hybridMultilevel"/>
    <w:tmpl w:val="2A9C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43B5A"/>
    <w:multiLevelType w:val="hybridMultilevel"/>
    <w:tmpl w:val="B124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74902"/>
    <w:multiLevelType w:val="hybridMultilevel"/>
    <w:tmpl w:val="E0187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F431D"/>
    <w:multiLevelType w:val="hybridMultilevel"/>
    <w:tmpl w:val="B17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B5727"/>
    <w:multiLevelType w:val="hybridMultilevel"/>
    <w:tmpl w:val="C68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F251E"/>
    <w:multiLevelType w:val="multilevel"/>
    <w:tmpl w:val="C32E70D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6"/>
  </w:num>
  <w:num w:numId="14">
    <w:abstractNumId w:val="1"/>
  </w:num>
  <w:num w:numId="15">
    <w:abstractNumId w:val="9"/>
  </w:num>
  <w:num w:numId="16">
    <w:abstractNumId w:val="8"/>
  </w:num>
  <w:num w:numId="17">
    <w:abstractNumId w:val="3"/>
  </w:num>
  <w:num w:numId="18">
    <w:abstractNumId w:val="2"/>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4"/>
    <w:rsid w:val="000049F1"/>
    <w:rsid w:val="000140F5"/>
    <w:rsid w:val="000151E4"/>
    <w:rsid w:val="00017B85"/>
    <w:rsid w:val="0002688E"/>
    <w:rsid w:val="0004011B"/>
    <w:rsid w:val="00055688"/>
    <w:rsid w:val="00057F47"/>
    <w:rsid w:val="000656ED"/>
    <w:rsid w:val="00070C2D"/>
    <w:rsid w:val="00075078"/>
    <w:rsid w:val="00082B59"/>
    <w:rsid w:val="000A36B2"/>
    <w:rsid w:val="000A65EC"/>
    <w:rsid w:val="000B2316"/>
    <w:rsid w:val="000B42A4"/>
    <w:rsid w:val="000C15E9"/>
    <w:rsid w:val="000D103F"/>
    <w:rsid w:val="000E1E4E"/>
    <w:rsid w:val="000E3DD3"/>
    <w:rsid w:val="000E4C90"/>
    <w:rsid w:val="000E59A1"/>
    <w:rsid w:val="000F74BB"/>
    <w:rsid w:val="00123CC2"/>
    <w:rsid w:val="001336E3"/>
    <w:rsid w:val="001418A8"/>
    <w:rsid w:val="00150BB0"/>
    <w:rsid w:val="00150E3E"/>
    <w:rsid w:val="0017233C"/>
    <w:rsid w:val="00176844"/>
    <w:rsid w:val="00183D92"/>
    <w:rsid w:val="001A36AE"/>
    <w:rsid w:val="001A763E"/>
    <w:rsid w:val="001C1990"/>
    <w:rsid w:val="001D0381"/>
    <w:rsid w:val="001E7F75"/>
    <w:rsid w:val="001F1AFB"/>
    <w:rsid w:val="00211892"/>
    <w:rsid w:val="00216C6C"/>
    <w:rsid w:val="0024679A"/>
    <w:rsid w:val="00271274"/>
    <w:rsid w:val="00272775"/>
    <w:rsid w:val="002730C3"/>
    <w:rsid w:val="00285AA3"/>
    <w:rsid w:val="00293971"/>
    <w:rsid w:val="00296A4B"/>
    <w:rsid w:val="002E5853"/>
    <w:rsid w:val="002E6768"/>
    <w:rsid w:val="002E7B63"/>
    <w:rsid w:val="002F117A"/>
    <w:rsid w:val="00303384"/>
    <w:rsid w:val="0031781E"/>
    <w:rsid w:val="003230F7"/>
    <w:rsid w:val="00325F47"/>
    <w:rsid w:val="003329D4"/>
    <w:rsid w:val="00354DA6"/>
    <w:rsid w:val="00365083"/>
    <w:rsid w:val="003739A2"/>
    <w:rsid w:val="0037781E"/>
    <w:rsid w:val="00392750"/>
    <w:rsid w:val="003B2DDC"/>
    <w:rsid w:val="003C332F"/>
    <w:rsid w:val="003C3791"/>
    <w:rsid w:val="003D30AE"/>
    <w:rsid w:val="003F152A"/>
    <w:rsid w:val="003F58C8"/>
    <w:rsid w:val="0040669F"/>
    <w:rsid w:val="0043501A"/>
    <w:rsid w:val="00444854"/>
    <w:rsid w:val="0044776F"/>
    <w:rsid w:val="004509AE"/>
    <w:rsid w:val="004524C4"/>
    <w:rsid w:val="004537AE"/>
    <w:rsid w:val="00470E0F"/>
    <w:rsid w:val="0047416A"/>
    <w:rsid w:val="00490547"/>
    <w:rsid w:val="00494BEF"/>
    <w:rsid w:val="004C618C"/>
    <w:rsid w:val="004E21D6"/>
    <w:rsid w:val="004E5C57"/>
    <w:rsid w:val="004F73E6"/>
    <w:rsid w:val="00517675"/>
    <w:rsid w:val="00517D78"/>
    <w:rsid w:val="005279B5"/>
    <w:rsid w:val="00544192"/>
    <w:rsid w:val="0054485E"/>
    <w:rsid w:val="00550F38"/>
    <w:rsid w:val="00591774"/>
    <w:rsid w:val="005B07FB"/>
    <w:rsid w:val="005C1D47"/>
    <w:rsid w:val="005D5BA6"/>
    <w:rsid w:val="005D5E83"/>
    <w:rsid w:val="005E0935"/>
    <w:rsid w:val="005E736F"/>
    <w:rsid w:val="0060090D"/>
    <w:rsid w:val="00611CD6"/>
    <w:rsid w:val="0063258B"/>
    <w:rsid w:val="00647923"/>
    <w:rsid w:val="00663B86"/>
    <w:rsid w:val="0067064F"/>
    <w:rsid w:val="00692AF4"/>
    <w:rsid w:val="006B219A"/>
    <w:rsid w:val="006B568E"/>
    <w:rsid w:val="006B5F45"/>
    <w:rsid w:val="006D564D"/>
    <w:rsid w:val="006F69C0"/>
    <w:rsid w:val="00700522"/>
    <w:rsid w:val="007008C3"/>
    <w:rsid w:val="00731BF2"/>
    <w:rsid w:val="00740A5E"/>
    <w:rsid w:val="00742DCD"/>
    <w:rsid w:val="00747F5B"/>
    <w:rsid w:val="00750CF3"/>
    <w:rsid w:val="00751330"/>
    <w:rsid w:val="00756BA0"/>
    <w:rsid w:val="007675D5"/>
    <w:rsid w:val="007A50A1"/>
    <w:rsid w:val="007B4233"/>
    <w:rsid w:val="007B776E"/>
    <w:rsid w:val="007C0F8E"/>
    <w:rsid w:val="007C518B"/>
    <w:rsid w:val="007C7BAE"/>
    <w:rsid w:val="007D4CDF"/>
    <w:rsid w:val="00810BB2"/>
    <w:rsid w:val="00836B4D"/>
    <w:rsid w:val="00843F46"/>
    <w:rsid w:val="00854713"/>
    <w:rsid w:val="00857C84"/>
    <w:rsid w:val="00870919"/>
    <w:rsid w:val="00873C8D"/>
    <w:rsid w:val="00895F08"/>
    <w:rsid w:val="008A1341"/>
    <w:rsid w:val="008A5ABB"/>
    <w:rsid w:val="008C3B3D"/>
    <w:rsid w:val="008D0E65"/>
    <w:rsid w:val="008E03DA"/>
    <w:rsid w:val="008E4180"/>
    <w:rsid w:val="008E6F83"/>
    <w:rsid w:val="008F0533"/>
    <w:rsid w:val="00900420"/>
    <w:rsid w:val="00904FAA"/>
    <w:rsid w:val="0091089B"/>
    <w:rsid w:val="00924D0D"/>
    <w:rsid w:val="0094542B"/>
    <w:rsid w:val="00953AE8"/>
    <w:rsid w:val="00956DA4"/>
    <w:rsid w:val="00972454"/>
    <w:rsid w:val="00987202"/>
    <w:rsid w:val="009A3139"/>
    <w:rsid w:val="009C71DB"/>
    <w:rsid w:val="009D5764"/>
    <w:rsid w:val="009E0DDB"/>
    <w:rsid w:val="009E5470"/>
    <w:rsid w:val="009F1290"/>
    <w:rsid w:val="009F4060"/>
    <w:rsid w:val="009F5DBB"/>
    <w:rsid w:val="00A05992"/>
    <w:rsid w:val="00A10F8E"/>
    <w:rsid w:val="00A251CF"/>
    <w:rsid w:val="00A27716"/>
    <w:rsid w:val="00A45CA4"/>
    <w:rsid w:val="00A5171B"/>
    <w:rsid w:val="00A53B29"/>
    <w:rsid w:val="00A6003D"/>
    <w:rsid w:val="00A70AB4"/>
    <w:rsid w:val="00A73B80"/>
    <w:rsid w:val="00A7408B"/>
    <w:rsid w:val="00A75989"/>
    <w:rsid w:val="00A942FC"/>
    <w:rsid w:val="00A94818"/>
    <w:rsid w:val="00AA7BAC"/>
    <w:rsid w:val="00AB30A6"/>
    <w:rsid w:val="00AD0E97"/>
    <w:rsid w:val="00AD3A9E"/>
    <w:rsid w:val="00AD6D1C"/>
    <w:rsid w:val="00AD71D7"/>
    <w:rsid w:val="00AE0DFD"/>
    <w:rsid w:val="00AE31AD"/>
    <w:rsid w:val="00B03051"/>
    <w:rsid w:val="00B06622"/>
    <w:rsid w:val="00B10070"/>
    <w:rsid w:val="00B2166D"/>
    <w:rsid w:val="00B24FFD"/>
    <w:rsid w:val="00B33B44"/>
    <w:rsid w:val="00B521E1"/>
    <w:rsid w:val="00B62693"/>
    <w:rsid w:val="00B75FE5"/>
    <w:rsid w:val="00B949EA"/>
    <w:rsid w:val="00BA285B"/>
    <w:rsid w:val="00BA3478"/>
    <w:rsid w:val="00BB6B0D"/>
    <w:rsid w:val="00BC1752"/>
    <w:rsid w:val="00BC5159"/>
    <w:rsid w:val="00BF3D53"/>
    <w:rsid w:val="00C00211"/>
    <w:rsid w:val="00C00718"/>
    <w:rsid w:val="00C03893"/>
    <w:rsid w:val="00C06A20"/>
    <w:rsid w:val="00C072A0"/>
    <w:rsid w:val="00C22386"/>
    <w:rsid w:val="00C33A1E"/>
    <w:rsid w:val="00C6393A"/>
    <w:rsid w:val="00C778C0"/>
    <w:rsid w:val="00C914FC"/>
    <w:rsid w:val="00C97AC6"/>
    <w:rsid w:val="00CA0FF3"/>
    <w:rsid w:val="00CC2690"/>
    <w:rsid w:val="00CC580E"/>
    <w:rsid w:val="00CE48E4"/>
    <w:rsid w:val="00CE4F46"/>
    <w:rsid w:val="00D365B0"/>
    <w:rsid w:val="00D40207"/>
    <w:rsid w:val="00D435B7"/>
    <w:rsid w:val="00D66D19"/>
    <w:rsid w:val="00D87BD8"/>
    <w:rsid w:val="00D94426"/>
    <w:rsid w:val="00D97696"/>
    <w:rsid w:val="00DA3675"/>
    <w:rsid w:val="00DD5E47"/>
    <w:rsid w:val="00DE43D6"/>
    <w:rsid w:val="00DE4665"/>
    <w:rsid w:val="00DF3F08"/>
    <w:rsid w:val="00E005AE"/>
    <w:rsid w:val="00E00FF4"/>
    <w:rsid w:val="00E071F6"/>
    <w:rsid w:val="00E22375"/>
    <w:rsid w:val="00EA0375"/>
    <w:rsid w:val="00EA2C60"/>
    <w:rsid w:val="00EB3BF1"/>
    <w:rsid w:val="00EC38A5"/>
    <w:rsid w:val="00EC625F"/>
    <w:rsid w:val="00ED029A"/>
    <w:rsid w:val="00EE1A21"/>
    <w:rsid w:val="00EF00DE"/>
    <w:rsid w:val="00EF7749"/>
    <w:rsid w:val="00F0178E"/>
    <w:rsid w:val="00F24899"/>
    <w:rsid w:val="00F31094"/>
    <w:rsid w:val="00F34FA7"/>
    <w:rsid w:val="00F36DEC"/>
    <w:rsid w:val="00F37964"/>
    <w:rsid w:val="00F43E84"/>
    <w:rsid w:val="00F45FFA"/>
    <w:rsid w:val="00F5693C"/>
    <w:rsid w:val="00F60BC1"/>
    <w:rsid w:val="00F641BD"/>
    <w:rsid w:val="00F700F8"/>
    <w:rsid w:val="00F80780"/>
    <w:rsid w:val="00F84C1D"/>
    <w:rsid w:val="00FC0C1F"/>
    <w:rsid w:val="00FD20CC"/>
    <w:rsid w:val="00FD657F"/>
    <w:rsid w:val="00FE1000"/>
    <w:rsid w:val="00FE1EA7"/>
    <w:rsid w:val="00FF4C92"/>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 w:type="paragraph" w:customStyle="1" w:styleId="Default">
    <w:name w:val="Default"/>
    <w:rsid w:val="00A73B80"/>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B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2"/>
    <w:rPr>
      <w:sz w:val="24"/>
    </w:rPr>
  </w:style>
  <w:style w:type="paragraph" w:styleId="Heading1">
    <w:name w:val="heading 1"/>
    <w:basedOn w:val="Normal"/>
    <w:next w:val="Normal"/>
    <w:link w:val="Heading1Char"/>
    <w:qFormat/>
    <w:rsid w:val="00FF4C9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C92"/>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4C92"/>
    <w:pPr>
      <w:keepNext/>
      <w:keepLines/>
      <w:numPr>
        <w:ilvl w:val="2"/>
        <w:numId w:val="12"/>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nhideWhenUsed/>
    <w:qFormat/>
    <w:rsid w:val="00FF4C92"/>
    <w:pPr>
      <w:keepNext/>
      <w:keepLines/>
      <w:numPr>
        <w:ilvl w:val="3"/>
        <w:numId w:val="12"/>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nhideWhenUsed/>
    <w:qFormat/>
    <w:rsid w:val="00FF4C92"/>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FF4C92"/>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FF4C92"/>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FF4C9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C9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C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C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4C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4C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F4C92"/>
    <w:rPr>
      <w:rFonts w:asciiTheme="majorHAnsi" w:eastAsiaTheme="majorEastAsia" w:hAnsiTheme="majorHAnsi" w:cstheme="majorBidi"/>
      <w:color w:val="243F60" w:themeColor="accent1" w:themeShade="7F"/>
    </w:rPr>
  </w:style>
  <w:style w:type="paragraph" w:styleId="Caption">
    <w:name w:val="caption"/>
    <w:basedOn w:val="Normal"/>
    <w:uiPriority w:val="35"/>
    <w:semiHidden/>
    <w:unhideWhenUsed/>
    <w:qFormat/>
    <w:rsid w:val="00FF4C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4C92"/>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92"/>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uiPriority w:val="9"/>
    <w:semiHidden/>
    <w:rsid w:val="00FF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C9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F4C92"/>
    <w:pPr>
      <w:numPr>
        <w:ilvl w:val="1"/>
      </w:numPr>
      <w:jc w:val="cente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FF4C92"/>
    <w:rPr>
      <w:rFonts w:asciiTheme="majorHAnsi" w:eastAsiaTheme="majorEastAsia" w:hAnsiTheme="majorHAnsi" w:cstheme="majorBidi"/>
      <w:i/>
      <w:iCs/>
      <w:color w:val="4F81BD" w:themeColor="accent1"/>
      <w:spacing w:val="15"/>
      <w:sz w:val="40"/>
      <w:szCs w:val="40"/>
    </w:rPr>
  </w:style>
  <w:style w:type="paragraph" w:styleId="ListParagraph">
    <w:name w:val="List Paragraph"/>
    <w:basedOn w:val="Normal"/>
    <w:uiPriority w:val="34"/>
    <w:qFormat/>
    <w:rsid w:val="00FF4C92"/>
    <w:pPr>
      <w:ind w:left="720"/>
      <w:contextualSpacing/>
    </w:pPr>
  </w:style>
  <w:style w:type="character" w:styleId="SubtleEmphasis">
    <w:name w:val="Subtle Emphasis"/>
    <w:basedOn w:val="DefaultParagraphFont"/>
    <w:uiPriority w:val="19"/>
    <w:qFormat/>
    <w:rsid w:val="00FF4C92"/>
    <w:rPr>
      <w:i/>
      <w:iCs/>
      <w:color w:val="808080" w:themeColor="text1" w:themeTint="7F"/>
    </w:rPr>
  </w:style>
  <w:style w:type="character" w:styleId="IntenseEmphasis">
    <w:name w:val="Intense Emphasis"/>
    <w:basedOn w:val="DefaultParagraphFont"/>
    <w:uiPriority w:val="21"/>
    <w:qFormat/>
    <w:rsid w:val="00FF4C92"/>
    <w:rPr>
      <w:b/>
      <w:bCs/>
      <w:i/>
      <w:iCs/>
      <w:color w:val="4F81BD" w:themeColor="accent1"/>
    </w:rPr>
  </w:style>
  <w:style w:type="paragraph" w:styleId="TOCHeading">
    <w:name w:val="TOC Heading"/>
    <w:basedOn w:val="Heading1"/>
    <w:next w:val="Normal"/>
    <w:uiPriority w:val="39"/>
    <w:semiHidden/>
    <w:unhideWhenUsed/>
    <w:qFormat/>
    <w:rsid w:val="00FF4C92"/>
    <w:pPr>
      <w:numPr>
        <w:numId w:val="0"/>
      </w:numPr>
      <w:outlineLvl w:val="9"/>
    </w:pPr>
  </w:style>
  <w:style w:type="paragraph" w:styleId="BalloonText">
    <w:name w:val="Balloon Text"/>
    <w:basedOn w:val="Normal"/>
    <w:link w:val="BalloonTextChar"/>
    <w:uiPriority w:val="99"/>
    <w:semiHidden/>
    <w:unhideWhenUsed/>
    <w:rsid w:val="0030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84"/>
    <w:rPr>
      <w:rFonts w:ascii="Tahoma" w:hAnsi="Tahoma" w:cs="Tahoma"/>
      <w:sz w:val="16"/>
      <w:szCs w:val="16"/>
    </w:rPr>
  </w:style>
  <w:style w:type="character" w:styleId="PlaceholderText">
    <w:name w:val="Placeholder Text"/>
    <w:basedOn w:val="DefaultParagraphFont"/>
    <w:uiPriority w:val="99"/>
    <w:semiHidden/>
    <w:rsid w:val="001336E3"/>
    <w:rPr>
      <w:color w:val="808080"/>
    </w:rPr>
  </w:style>
  <w:style w:type="paragraph" w:customStyle="1" w:styleId="TableContents">
    <w:name w:val="Table Contents"/>
    <w:basedOn w:val="Normal"/>
    <w:rsid w:val="00150BB0"/>
    <w:pPr>
      <w:suppressLineNumbers/>
      <w:suppressAutoHyphens/>
      <w:spacing w:after="0" w:line="240" w:lineRule="auto"/>
    </w:pPr>
    <w:rPr>
      <w:rFonts w:ascii="Times New Roman" w:eastAsia="Times New Roman" w:hAnsi="Times New Roman" w:cs="Times New Roman"/>
      <w:szCs w:val="24"/>
      <w:lang w:eastAsia="ar-SA"/>
    </w:rPr>
  </w:style>
  <w:style w:type="paragraph" w:customStyle="1" w:styleId="Heading11">
    <w:name w:val="Heading 1.1"/>
    <w:basedOn w:val="Heading3"/>
    <w:rsid w:val="00150BB0"/>
    <w:pPr>
      <w:keepLines w:val="0"/>
      <w:numPr>
        <w:ilvl w:val="0"/>
        <w:numId w:val="0"/>
      </w:numPr>
      <w:tabs>
        <w:tab w:val="left" w:pos="0"/>
      </w:tabs>
      <w:suppressAutoHyphens/>
      <w:spacing w:before="0" w:after="173" w:line="240" w:lineRule="auto"/>
      <w:outlineLvl w:val="1"/>
    </w:pPr>
    <w:rPr>
      <w:rFonts w:ascii="Arial" w:eastAsia="Times New Roman" w:hAnsi="Arial" w:cs="Arial"/>
      <w:color w:val="auto"/>
      <w:sz w:val="26"/>
      <w:szCs w:val="26"/>
      <w:lang w:eastAsia="ar-SA"/>
    </w:rPr>
  </w:style>
  <w:style w:type="paragraph" w:customStyle="1" w:styleId="Heading12">
    <w:name w:val="Heading 1.2"/>
    <w:basedOn w:val="Normal"/>
    <w:rsid w:val="00150BB0"/>
    <w:pPr>
      <w:tabs>
        <w:tab w:val="num" w:pos="0"/>
      </w:tabs>
      <w:suppressAutoHyphens/>
      <w:spacing w:after="0" w:line="240" w:lineRule="auto"/>
      <w:outlineLvl w:val="2"/>
    </w:pPr>
    <w:rPr>
      <w:rFonts w:ascii="Times New Roman" w:eastAsia="Times New Roman" w:hAnsi="Times New Roman" w:cs="Times New Roman"/>
      <w:b/>
      <w:bCs/>
      <w:szCs w:val="24"/>
      <w:lang w:eastAsia="ar-SA"/>
    </w:rPr>
  </w:style>
  <w:style w:type="character" w:styleId="Emphasis">
    <w:name w:val="Emphasis"/>
    <w:basedOn w:val="DefaultParagraphFont"/>
    <w:uiPriority w:val="20"/>
    <w:qFormat/>
    <w:rsid w:val="00D435B7"/>
    <w:rPr>
      <w:i/>
      <w:iCs/>
    </w:rPr>
  </w:style>
  <w:style w:type="paragraph" w:styleId="TOC1">
    <w:name w:val="toc 1"/>
    <w:basedOn w:val="Normal"/>
    <w:next w:val="Normal"/>
    <w:autoRedefine/>
    <w:uiPriority w:val="39"/>
    <w:unhideWhenUsed/>
    <w:rsid w:val="00987202"/>
    <w:pPr>
      <w:spacing w:after="100"/>
    </w:pPr>
  </w:style>
  <w:style w:type="paragraph" w:styleId="TOC2">
    <w:name w:val="toc 2"/>
    <w:basedOn w:val="Normal"/>
    <w:next w:val="Normal"/>
    <w:autoRedefine/>
    <w:uiPriority w:val="39"/>
    <w:unhideWhenUsed/>
    <w:rsid w:val="00987202"/>
    <w:pPr>
      <w:spacing w:after="100"/>
      <w:ind w:left="240"/>
    </w:pPr>
  </w:style>
  <w:style w:type="paragraph" w:styleId="TOC3">
    <w:name w:val="toc 3"/>
    <w:basedOn w:val="Normal"/>
    <w:next w:val="Normal"/>
    <w:autoRedefine/>
    <w:uiPriority w:val="39"/>
    <w:unhideWhenUsed/>
    <w:rsid w:val="00987202"/>
    <w:pPr>
      <w:spacing w:after="100"/>
      <w:ind w:left="480"/>
    </w:pPr>
  </w:style>
  <w:style w:type="character" w:styleId="Hyperlink">
    <w:name w:val="Hyperlink"/>
    <w:basedOn w:val="DefaultParagraphFont"/>
    <w:uiPriority w:val="99"/>
    <w:unhideWhenUsed/>
    <w:rsid w:val="00987202"/>
    <w:rPr>
      <w:color w:val="0000FF" w:themeColor="hyperlink"/>
      <w:u w:val="single"/>
    </w:rPr>
  </w:style>
  <w:style w:type="paragraph" w:styleId="Header">
    <w:name w:val="header"/>
    <w:basedOn w:val="Normal"/>
    <w:link w:val="HeaderChar"/>
    <w:uiPriority w:val="99"/>
    <w:semiHidden/>
    <w:unhideWhenUsed/>
    <w:rsid w:val="0098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202"/>
    <w:rPr>
      <w:sz w:val="24"/>
    </w:rPr>
  </w:style>
  <w:style w:type="paragraph" w:styleId="Footer">
    <w:name w:val="footer"/>
    <w:basedOn w:val="Normal"/>
    <w:link w:val="FooterChar"/>
    <w:uiPriority w:val="99"/>
    <w:unhideWhenUsed/>
    <w:rsid w:val="0098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2"/>
    <w:rPr>
      <w:sz w:val="24"/>
    </w:rPr>
  </w:style>
  <w:style w:type="paragraph" w:customStyle="1" w:styleId="Default">
    <w:name w:val="Default"/>
    <w:rsid w:val="00A73B80"/>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B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92">
      <w:bodyDiv w:val="1"/>
      <w:marLeft w:val="0"/>
      <w:marRight w:val="0"/>
      <w:marTop w:val="0"/>
      <w:marBottom w:val="0"/>
      <w:divBdr>
        <w:top w:val="none" w:sz="0" w:space="0" w:color="auto"/>
        <w:left w:val="none" w:sz="0" w:space="0" w:color="auto"/>
        <w:bottom w:val="none" w:sz="0" w:space="0" w:color="auto"/>
        <w:right w:val="none" w:sz="0" w:space="0" w:color="auto"/>
      </w:divBdr>
    </w:div>
    <w:div w:id="1167281564">
      <w:bodyDiv w:val="1"/>
      <w:marLeft w:val="0"/>
      <w:marRight w:val="0"/>
      <w:marTop w:val="0"/>
      <w:marBottom w:val="0"/>
      <w:divBdr>
        <w:top w:val="none" w:sz="0" w:space="0" w:color="auto"/>
        <w:left w:val="none" w:sz="0" w:space="0" w:color="auto"/>
        <w:bottom w:val="none" w:sz="0" w:space="0" w:color="auto"/>
        <w:right w:val="none" w:sz="0" w:space="0" w:color="auto"/>
      </w:divBdr>
    </w:div>
    <w:div w:id="1390809844">
      <w:bodyDiv w:val="1"/>
      <w:marLeft w:val="0"/>
      <w:marRight w:val="0"/>
      <w:marTop w:val="0"/>
      <w:marBottom w:val="0"/>
      <w:divBdr>
        <w:top w:val="none" w:sz="0" w:space="0" w:color="auto"/>
        <w:left w:val="none" w:sz="0" w:space="0" w:color="auto"/>
        <w:bottom w:val="none" w:sz="0" w:space="0" w:color="auto"/>
        <w:right w:val="none" w:sz="0" w:space="0" w:color="auto"/>
      </w:divBdr>
    </w:div>
    <w:div w:id="15959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08E8-DADA-422E-A93B-B65455A6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5543</TotalTime>
  <Pages>13</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Drennan</dc:creator>
  <cp:lastModifiedBy>Craig C. Drennan</cp:lastModifiedBy>
  <cp:revision>25</cp:revision>
  <cp:lastPrinted>2013-01-10T14:02:00Z</cp:lastPrinted>
  <dcterms:created xsi:type="dcterms:W3CDTF">2013-01-10T17:01:00Z</dcterms:created>
  <dcterms:modified xsi:type="dcterms:W3CDTF">2013-02-14T16:10:00Z</dcterms:modified>
</cp:coreProperties>
</file>