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2D4" w:rsidRPr="003232D4" w:rsidRDefault="0062718D" w:rsidP="00960E62">
      <w:pPr>
        <w:contextualSpacing/>
        <w:jc w:val="center"/>
        <w:rPr>
          <w:sz w:val="48"/>
          <w:szCs w:val="48"/>
        </w:rPr>
      </w:pPr>
      <w:r w:rsidRPr="003232D4">
        <w:rPr>
          <w:sz w:val="48"/>
          <w:szCs w:val="48"/>
        </w:rPr>
        <w:t xml:space="preserve">HDPE </w:t>
      </w:r>
      <w:r w:rsidR="003232D4" w:rsidRPr="003232D4">
        <w:rPr>
          <w:sz w:val="48"/>
          <w:szCs w:val="48"/>
        </w:rPr>
        <w:t>Berm Pipe</w:t>
      </w:r>
      <w:r w:rsidR="00C806DF">
        <w:rPr>
          <w:sz w:val="48"/>
          <w:szCs w:val="48"/>
        </w:rPr>
        <w:t xml:space="preserve"> </w:t>
      </w:r>
      <w:r w:rsidR="006A45CB">
        <w:rPr>
          <w:sz w:val="48"/>
          <w:szCs w:val="48"/>
        </w:rPr>
        <w:t>Aperture</w:t>
      </w:r>
    </w:p>
    <w:p w:rsidR="00410D10" w:rsidRPr="00E27518" w:rsidRDefault="00410D10" w:rsidP="00410D10">
      <w:pPr>
        <w:contextualSpacing/>
        <w:jc w:val="center"/>
        <w:rPr>
          <w:sz w:val="24"/>
          <w:szCs w:val="24"/>
        </w:rPr>
      </w:pPr>
      <w:r>
        <w:rPr>
          <w:sz w:val="24"/>
          <w:szCs w:val="24"/>
        </w:rPr>
        <w:t xml:space="preserve">Version </w:t>
      </w:r>
      <w:r w:rsidR="004E0554">
        <w:rPr>
          <w:sz w:val="24"/>
          <w:szCs w:val="24"/>
        </w:rPr>
        <w:t>2</w:t>
      </w:r>
      <w:r w:rsidR="007329B9">
        <w:rPr>
          <w:sz w:val="24"/>
          <w:szCs w:val="24"/>
        </w:rPr>
        <w:t>.0</w:t>
      </w:r>
      <w:r>
        <w:rPr>
          <w:sz w:val="24"/>
          <w:szCs w:val="24"/>
        </w:rPr>
        <w:t xml:space="preserve"> 1</w:t>
      </w:r>
      <w:r w:rsidR="004E0554">
        <w:rPr>
          <w:sz w:val="24"/>
          <w:szCs w:val="24"/>
        </w:rPr>
        <w:t>2</w:t>
      </w:r>
      <w:r>
        <w:rPr>
          <w:sz w:val="24"/>
          <w:szCs w:val="24"/>
        </w:rPr>
        <w:t>/</w:t>
      </w:r>
      <w:r w:rsidR="004E0554">
        <w:rPr>
          <w:sz w:val="24"/>
          <w:szCs w:val="24"/>
        </w:rPr>
        <w:t>5</w:t>
      </w:r>
      <w:r>
        <w:rPr>
          <w:sz w:val="24"/>
          <w:szCs w:val="24"/>
        </w:rPr>
        <w:t>/2011</w:t>
      </w:r>
    </w:p>
    <w:p w:rsidR="00410D10" w:rsidRDefault="00410D10" w:rsidP="00410D10">
      <w:pPr>
        <w:contextualSpacing/>
        <w:jc w:val="center"/>
        <w:rPr>
          <w:sz w:val="24"/>
          <w:szCs w:val="24"/>
        </w:rPr>
      </w:pPr>
      <w:r>
        <w:rPr>
          <w:sz w:val="24"/>
          <w:szCs w:val="24"/>
        </w:rPr>
        <w:t>Michael Geelhoed</w:t>
      </w:r>
    </w:p>
    <w:p w:rsidR="004F1B92" w:rsidRDefault="004F1B92" w:rsidP="004F1B92">
      <w:pPr>
        <w:rPr>
          <w:sz w:val="28"/>
          <w:szCs w:val="28"/>
        </w:rPr>
      </w:pPr>
      <w:r>
        <w:rPr>
          <w:sz w:val="28"/>
          <w:szCs w:val="28"/>
        </w:rPr>
        <w:t>Introduction</w:t>
      </w:r>
    </w:p>
    <w:p w:rsidR="00960E62" w:rsidRDefault="00960E62" w:rsidP="002D50F1">
      <w:pPr>
        <w:ind w:firstLine="720"/>
        <w:jc w:val="both"/>
        <w:rPr>
          <w:sz w:val="24"/>
          <w:szCs w:val="24"/>
        </w:rPr>
      </w:pPr>
      <w:r>
        <w:rPr>
          <w:sz w:val="24"/>
          <w:szCs w:val="24"/>
        </w:rPr>
        <w:t>In the spring of 2011, the berm p</w:t>
      </w:r>
      <w:r w:rsidR="0062718D">
        <w:rPr>
          <w:sz w:val="24"/>
          <w:szCs w:val="24"/>
        </w:rPr>
        <w:t>ipe from enclosure G2 to NM</w:t>
      </w:r>
      <w:r>
        <w:rPr>
          <w:sz w:val="24"/>
          <w:szCs w:val="24"/>
        </w:rPr>
        <w:t xml:space="preserve">1 developed </w:t>
      </w:r>
      <w:r w:rsidR="0062718D">
        <w:rPr>
          <w:sz w:val="24"/>
          <w:szCs w:val="24"/>
        </w:rPr>
        <w:t xml:space="preserve">a significant leak. Vacuum pumps were destroyed when </w:t>
      </w:r>
      <w:r>
        <w:rPr>
          <w:sz w:val="24"/>
          <w:szCs w:val="24"/>
        </w:rPr>
        <w:t>ground water infiltrat</w:t>
      </w:r>
      <w:r w:rsidR="0062718D">
        <w:rPr>
          <w:sz w:val="24"/>
          <w:szCs w:val="24"/>
        </w:rPr>
        <w:t>ed</w:t>
      </w:r>
      <w:r>
        <w:rPr>
          <w:sz w:val="24"/>
          <w:szCs w:val="24"/>
        </w:rPr>
        <w:t xml:space="preserve"> the quarter inch thick steel wall pipe</w:t>
      </w:r>
      <w:r w:rsidR="0062718D">
        <w:rPr>
          <w:sz w:val="24"/>
          <w:szCs w:val="24"/>
        </w:rPr>
        <w:t>. After months of</w:t>
      </w:r>
      <w:r>
        <w:rPr>
          <w:sz w:val="24"/>
          <w:szCs w:val="24"/>
        </w:rPr>
        <w:t xml:space="preserve"> </w:t>
      </w:r>
      <w:r w:rsidR="0062718D">
        <w:rPr>
          <w:sz w:val="24"/>
          <w:szCs w:val="24"/>
        </w:rPr>
        <w:t xml:space="preserve">troubleshooting and surveying, </w:t>
      </w:r>
      <w:r w:rsidR="00035168">
        <w:rPr>
          <w:sz w:val="24"/>
          <w:szCs w:val="24"/>
        </w:rPr>
        <w:t xml:space="preserve">the </w:t>
      </w:r>
      <w:r w:rsidR="0062718D">
        <w:rPr>
          <w:sz w:val="24"/>
          <w:szCs w:val="24"/>
        </w:rPr>
        <w:t xml:space="preserve">idea to sleeve this pipe </w:t>
      </w:r>
      <w:r>
        <w:rPr>
          <w:sz w:val="24"/>
          <w:szCs w:val="24"/>
        </w:rPr>
        <w:t xml:space="preserve">using High Density </w:t>
      </w:r>
      <w:r w:rsidRPr="00960E62">
        <w:rPr>
          <w:sz w:val="24"/>
          <w:szCs w:val="24"/>
        </w:rPr>
        <w:t>P</w:t>
      </w:r>
      <w:r w:rsidRPr="00960E62">
        <w:rPr>
          <w:bCs/>
        </w:rPr>
        <w:t>oly</w:t>
      </w:r>
      <w:r w:rsidR="005E01BD">
        <w:rPr>
          <w:bCs/>
        </w:rPr>
        <w:t>e</w:t>
      </w:r>
      <w:r w:rsidRPr="00960E62">
        <w:rPr>
          <w:bCs/>
        </w:rPr>
        <w:t>thylene</w:t>
      </w:r>
      <w:r w:rsidRPr="00960E62">
        <w:rPr>
          <w:sz w:val="24"/>
          <w:szCs w:val="24"/>
        </w:rPr>
        <w:t>,</w:t>
      </w:r>
      <w:r>
        <w:rPr>
          <w:sz w:val="24"/>
          <w:szCs w:val="24"/>
        </w:rPr>
        <w:t xml:space="preserve"> or HDPE, pipe is considered.</w:t>
      </w:r>
    </w:p>
    <w:p w:rsidR="00F83A9D" w:rsidRDefault="00F83A9D" w:rsidP="002D50F1">
      <w:pPr>
        <w:ind w:firstLine="720"/>
        <w:jc w:val="both"/>
        <w:rPr>
          <w:sz w:val="24"/>
          <w:szCs w:val="24"/>
        </w:rPr>
      </w:pPr>
      <w:r>
        <w:rPr>
          <w:sz w:val="24"/>
          <w:szCs w:val="24"/>
        </w:rPr>
        <w:t xml:space="preserve">One aspect of the pipe to consider is the aperture restrictions that this pipe would create. </w:t>
      </w:r>
      <w:r w:rsidR="004C3CC6">
        <w:rPr>
          <w:sz w:val="24"/>
          <w:szCs w:val="24"/>
        </w:rPr>
        <w:t>There are three factors to determine the aperture. T</w:t>
      </w:r>
      <w:r>
        <w:rPr>
          <w:sz w:val="24"/>
          <w:szCs w:val="24"/>
        </w:rPr>
        <w:t>he initial diameter create</w:t>
      </w:r>
      <w:r w:rsidR="004C3CC6">
        <w:rPr>
          <w:sz w:val="24"/>
          <w:szCs w:val="24"/>
        </w:rPr>
        <w:t>s</w:t>
      </w:r>
      <w:r>
        <w:rPr>
          <w:sz w:val="24"/>
          <w:szCs w:val="24"/>
        </w:rPr>
        <w:t xml:space="preserve"> a smaller aperture</w:t>
      </w:r>
      <w:r w:rsidR="00890C01">
        <w:rPr>
          <w:sz w:val="24"/>
          <w:szCs w:val="24"/>
        </w:rPr>
        <w:t>.</w:t>
      </w:r>
      <w:r w:rsidR="00890C01" w:rsidRPr="00890C01">
        <w:rPr>
          <w:sz w:val="24"/>
          <w:szCs w:val="24"/>
        </w:rPr>
        <w:t xml:space="preserve"> </w:t>
      </w:r>
      <w:r w:rsidR="00890C01">
        <w:rPr>
          <w:sz w:val="24"/>
          <w:szCs w:val="24"/>
        </w:rPr>
        <w:t>The calculation of the sag of the HDPE as it spans across the three transitions in the existing berm pipe. T</w:t>
      </w:r>
      <w:r w:rsidR="004C3CC6">
        <w:rPr>
          <w:sz w:val="24"/>
          <w:szCs w:val="24"/>
        </w:rPr>
        <w:t>he pipe will lose some of its aperture due</w:t>
      </w:r>
      <w:r>
        <w:rPr>
          <w:sz w:val="24"/>
          <w:szCs w:val="24"/>
        </w:rPr>
        <w:t xml:space="preserve"> to </w:t>
      </w:r>
      <w:r w:rsidR="004C3CC6">
        <w:rPr>
          <w:sz w:val="24"/>
          <w:szCs w:val="24"/>
        </w:rPr>
        <w:t>its</w:t>
      </w:r>
      <w:r>
        <w:rPr>
          <w:sz w:val="24"/>
          <w:szCs w:val="24"/>
        </w:rPr>
        <w:t xml:space="preserve"> </w:t>
      </w:r>
      <w:r w:rsidR="004C3CC6">
        <w:rPr>
          <w:sz w:val="24"/>
          <w:szCs w:val="24"/>
        </w:rPr>
        <w:t xml:space="preserve">initial </w:t>
      </w:r>
      <w:r>
        <w:rPr>
          <w:sz w:val="24"/>
          <w:szCs w:val="24"/>
        </w:rPr>
        <w:t xml:space="preserve">sag, </w:t>
      </w:r>
      <w:r w:rsidR="00890C01">
        <w:rPr>
          <w:sz w:val="24"/>
          <w:szCs w:val="24"/>
        </w:rPr>
        <w:t>but also</w:t>
      </w:r>
      <w:r>
        <w:rPr>
          <w:sz w:val="24"/>
          <w:szCs w:val="24"/>
        </w:rPr>
        <w:t xml:space="preserve"> as a function of time that sag increases, called creep.</w:t>
      </w:r>
      <w:r>
        <w:rPr>
          <w:rStyle w:val="FootnoteReference"/>
          <w:sz w:val="24"/>
          <w:szCs w:val="24"/>
        </w:rPr>
        <w:footnoteReference w:id="1"/>
      </w:r>
    </w:p>
    <w:p w:rsidR="00707E98" w:rsidRDefault="00C806DF" w:rsidP="00C806DF">
      <w:pPr>
        <w:ind w:firstLine="720"/>
        <w:jc w:val="both"/>
        <w:rPr>
          <w:sz w:val="24"/>
          <w:szCs w:val="24"/>
        </w:rPr>
      </w:pPr>
      <w:r>
        <w:rPr>
          <w:sz w:val="24"/>
          <w:szCs w:val="24"/>
        </w:rPr>
        <w:t xml:space="preserve">For this test we arrange to have a section of HDPE be sliced in multiple sections and fused back together using the </w:t>
      </w:r>
      <w:r w:rsidR="00973774">
        <w:rPr>
          <w:sz w:val="24"/>
          <w:szCs w:val="24"/>
        </w:rPr>
        <w:t xml:space="preserve">same </w:t>
      </w:r>
      <w:r>
        <w:rPr>
          <w:sz w:val="24"/>
          <w:szCs w:val="24"/>
        </w:rPr>
        <w:t xml:space="preserve">method for </w:t>
      </w:r>
      <w:r w:rsidR="0020759B">
        <w:rPr>
          <w:sz w:val="24"/>
          <w:szCs w:val="24"/>
        </w:rPr>
        <w:t xml:space="preserve">final </w:t>
      </w:r>
      <w:r>
        <w:rPr>
          <w:sz w:val="24"/>
          <w:szCs w:val="24"/>
        </w:rPr>
        <w:t xml:space="preserve">installation. </w:t>
      </w:r>
      <w:r w:rsidR="007352E4">
        <w:rPr>
          <w:sz w:val="24"/>
          <w:szCs w:val="24"/>
        </w:rPr>
        <w:t>Another test was performed to have one solid section of HDPE pipe tested for</w:t>
      </w:r>
      <w:r w:rsidR="004F1B92">
        <w:rPr>
          <w:sz w:val="24"/>
          <w:szCs w:val="24"/>
        </w:rPr>
        <w:t xml:space="preserve"> its creep for </w:t>
      </w:r>
      <w:r w:rsidR="00707E98">
        <w:rPr>
          <w:sz w:val="24"/>
          <w:szCs w:val="24"/>
        </w:rPr>
        <w:t>comparison.</w:t>
      </w:r>
      <w:r w:rsidR="004C3CC6">
        <w:rPr>
          <w:sz w:val="24"/>
          <w:szCs w:val="24"/>
        </w:rPr>
        <w:t xml:space="preserve"> </w:t>
      </w:r>
      <w:r w:rsidR="00707E98">
        <w:rPr>
          <w:sz w:val="24"/>
          <w:szCs w:val="24"/>
        </w:rPr>
        <w:t>The HDPE in consideration is DR11 14” HDPE. With an outside diameter at 14”, it has an average standard wall thickness of 1.27</w:t>
      </w:r>
      <w:r w:rsidR="004F1B92">
        <w:rPr>
          <w:sz w:val="24"/>
          <w:szCs w:val="24"/>
        </w:rPr>
        <w:t xml:space="preserve"> inches and weighs 22.2 lbs/ft.</w:t>
      </w:r>
      <w:r w:rsidR="00882D1E">
        <w:rPr>
          <w:sz w:val="24"/>
          <w:szCs w:val="24"/>
        </w:rPr>
        <w:t xml:space="preserve"> The three transitions are in two different lengths, 2 of them are 60 feet long and the middle transition is 40 feet. The pipe changes in diameter from 15.25” to 29.25” pipe making the difference in the inverts in 7 inches.</w:t>
      </w:r>
    </w:p>
    <w:p w:rsidR="00410D10" w:rsidRDefault="00410D10" w:rsidP="00410D10">
      <w:pPr>
        <w:jc w:val="both"/>
        <w:rPr>
          <w:sz w:val="28"/>
          <w:szCs w:val="28"/>
        </w:rPr>
      </w:pPr>
      <w:r w:rsidRPr="00914F10">
        <w:rPr>
          <w:sz w:val="28"/>
          <w:szCs w:val="28"/>
        </w:rPr>
        <w:t>Measurement</w:t>
      </w:r>
      <w:r>
        <w:rPr>
          <w:sz w:val="28"/>
          <w:szCs w:val="28"/>
        </w:rPr>
        <w:t xml:space="preserve"> and Data</w:t>
      </w:r>
    </w:p>
    <w:p w:rsidR="00F83A9D" w:rsidRDefault="00F83A9D" w:rsidP="00F83A9D">
      <w:pPr>
        <w:ind w:firstLine="720"/>
        <w:jc w:val="both"/>
        <w:rPr>
          <w:rFonts w:eastAsia="Times New Roman" w:cs="Arial"/>
          <w:bCs/>
          <w:sz w:val="24"/>
          <w:szCs w:val="24"/>
        </w:rPr>
      </w:pPr>
      <w:r>
        <w:rPr>
          <w:sz w:val="24"/>
          <w:szCs w:val="24"/>
        </w:rPr>
        <w:t>Th</w:t>
      </w:r>
      <w:r w:rsidR="007352E4">
        <w:rPr>
          <w:sz w:val="24"/>
          <w:szCs w:val="24"/>
        </w:rPr>
        <w:t>e first</w:t>
      </w:r>
      <w:r>
        <w:rPr>
          <w:sz w:val="24"/>
          <w:szCs w:val="24"/>
        </w:rPr>
        <w:t xml:space="preserve"> piece of fused together HDPE of total length twenty one feet was spanned between two pipe stands </w:t>
      </w:r>
      <w:r>
        <w:rPr>
          <w:rFonts w:eastAsia="Times New Roman" w:cs="Arial"/>
          <w:bCs/>
          <w:sz w:val="24"/>
          <w:szCs w:val="24"/>
        </w:rPr>
        <w:t xml:space="preserve">eighteen feet apart. Both ends of the HDPE were not fixed and were able to counter-rotate to the sag. The raised piece of HDPE on stands was measured at the center of the pipe where the creep would be most evident. </w:t>
      </w:r>
    </w:p>
    <w:p w:rsidR="00C806DF" w:rsidRDefault="00C806DF" w:rsidP="00C806DF">
      <w:pPr>
        <w:ind w:firstLine="720"/>
        <w:jc w:val="both"/>
        <w:rPr>
          <w:rFonts w:eastAsia="Times New Roman" w:cs="Arial"/>
          <w:bCs/>
          <w:sz w:val="24"/>
          <w:szCs w:val="24"/>
        </w:rPr>
      </w:pPr>
      <w:r>
        <w:rPr>
          <w:rFonts w:eastAsia="Times New Roman" w:cs="Arial"/>
          <w:bCs/>
          <w:sz w:val="24"/>
          <w:szCs w:val="24"/>
        </w:rPr>
        <w:t xml:space="preserve">The starting measurement at the center of the pipe was 38.5 inches to the floor. In two hours, the pipe was measured again </w:t>
      </w:r>
      <w:r w:rsidR="00973774">
        <w:rPr>
          <w:rFonts w:eastAsia="Times New Roman" w:cs="Arial"/>
          <w:bCs/>
          <w:sz w:val="24"/>
          <w:szCs w:val="24"/>
        </w:rPr>
        <w:t>at the center; i</w:t>
      </w:r>
      <w:r>
        <w:rPr>
          <w:rFonts w:eastAsia="Times New Roman" w:cs="Arial"/>
          <w:bCs/>
          <w:sz w:val="24"/>
          <w:szCs w:val="24"/>
        </w:rPr>
        <w:t>ts height was 38 inches</w:t>
      </w:r>
      <w:r w:rsidR="00973774">
        <w:rPr>
          <w:rFonts w:eastAsia="Times New Roman" w:cs="Arial"/>
          <w:bCs/>
          <w:sz w:val="24"/>
          <w:szCs w:val="24"/>
        </w:rPr>
        <w:t xml:space="preserve"> to the floor</w:t>
      </w:r>
      <w:r>
        <w:rPr>
          <w:rFonts w:eastAsia="Times New Roman" w:cs="Arial"/>
          <w:bCs/>
          <w:sz w:val="24"/>
          <w:szCs w:val="24"/>
        </w:rPr>
        <w:t xml:space="preserve">. </w:t>
      </w:r>
      <w:r w:rsidR="00BA46D9">
        <w:rPr>
          <w:rFonts w:eastAsia="Times New Roman" w:cs="Arial"/>
          <w:bCs/>
          <w:sz w:val="24"/>
          <w:szCs w:val="24"/>
        </w:rPr>
        <w:t xml:space="preserve">Two more measurements were taken after the pipe was initially placed. Shown in the </w:t>
      </w:r>
      <w:r w:rsidR="00973774">
        <w:rPr>
          <w:rFonts w:eastAsia="Times New Roman" w:cs="Arial"/>
          <w:bCs/>
          <w:sz w:val="24"/>
          <w:szCs w:val="24"/>
        </w:rPr>
        <w:t>figure</w:t>
      </w:r>
      <w:r w:rsidR="00BA46D9">
        <w:rPr>
          <w:rFonts w:eastAsia="Times New Roman" w:cs="Arial"/>
          <w:bCs/>
          <w:sz w:val="24"/>
          <w:szCs w:val="24"/>
        </w:rPr>
        <w:t>s below, the HDPE pipe has lowered by one and a quarter inch in twenty four hours.</w:t>
      </w:r>
    </w:p>
    <w:p w:rsidR="00F83A9D" w:rsidRDefault="00983F3D" w:rsidP="004F1B92">
      <w:pPr>
        <w:jc w:val="center"/>
      </w:pPr>
      <w:r w:rsidRPr="00BA46D9">
        <w:rPr>
          <w:noProof/>
        </w:rPr>
        <w:lastRenderedPageBreak/>
        <w:drawing>
          <wp:inline distT="0" distB="0" distL="0" distR="0">
            <wp:extent cx="5838825" cy="3657600"/>
            <wp:effectExtent l="19050" t="0" r="9525"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83F3D" w:rsidRPr="00F83A9D" w:rsidRDefault="00F83A9D" w:rsidP="00F83A9D">
      <w:pPr>
        <w:pStyle w:val="Caption"/>
        <w:jc w:val="center"/>
        <w:rPr>
          <w:color w:val="auto"/>
        </w:rPr>
      </w:pPr>
      <w:r w:rsidRPr="00F83A9D">
        <w:rPr>
          <w:color w:val="auto"/>
        </w:rPr>
        <w:t xml:space="preserve">Figure </w:t>
      </w:r>
      <w:r w:rsidR="000122B0" w:rsidRPr="00F83A9D">
        <w:rPr>
          <w:color w:val="auto"/>
        </w:rPr>
        <w:fldChar w:fldCharType="begin"/>
      </w:r>
      <w:r w:rsidRPr="00F83A9D">
        <w:rPr>
          <w:color w:val="auto"/>
        </w:rPr>
        <w:instrText xml:space="preserve"> SEQ Figure \* ARABIC </w:instrText>
      </w:r>
      <w:r w:rsidR="000122B0" w:rsidRPr="00F83A9D">
        <w:rPr>
          <w:color w:val="auto"/>
        </w:rPr>
        <w:fldChar w:fldCharType="separate"/>
      </w:r>
      <w:r w:rsidR="002E4058">
        <w:rPr>
          <w:noProof/>
          <w:color w:val="auto"/>
        </w:rPr>
        <w:t>1</w:t>
      </w:r>
      <w:r w:rsidR="000122B0" w:rsidRPr="00F83A9D">
        <w:rPr>
          <w:color w:val="auto"/>
        </w:rPr>
        <w:fldChar w:fldCharType="end"/>
      </w:r>
      <w:r w:rsidRPr="00F83A9D">
        <w:rPr>
          <w:color w:val="auto"/>
        </w:rPr>
        <w:t xml:space="preserve"> Plot of sag elevation change of the fused together HDPE pipe for 24 hours</w:t>
      </w:r>
    </w:p>
    <w:p w:rsidR="004F1B92" w:rsidRDefault="00983F3D" w:rsidP="004F1B92">
      <w:pPr>
        <w:ind w:firstLine="720"/>
        <w:jc w:val="both"/>
        <w:rPr>
          <w:rFonts w:eastAsia="Times New Roman" w:cs="Arial"/>
          <w:bCs/>
          <w:sz w:val="24"/>
          <w:szCs w:val="24"/>
        </w:rPr>
      </w:pPr>
      <w:r>
        <w:rPr>
          <w:rFonts w:eastAsia="Times New Roman" w:cs="Arial"/>
          <w:bCs/>
          <w:sz w:val="24"/>
          <w:szCs w:val="24"/>
        </w:rPr>
        <w:t xml:space="preserve">Using a piece of </w:t>
      </w:r>
      <w:r w:rsidR="00854966">
        <w:rPr>
          <w:rFonts w:eastAsia="Times New Roman" w:cs="Arial"/>
          <w:bCs/>
          <w:sz w:val="24"/>
          <w:szCs w:val="24"/>
        </w:rPr>
        <w:t xml:space="preserve">fused together </w:t>
      </w:r>
      <w:r>
        <w:rPr>
          <w:rFonts w:eastAsia="Times New Roman" w:cs="Arial"/>
          <w:bCs/>
          <w:sz w:val="24"/>
          <w:szCs w:val="24"/>
        </w:rPr>
        <w:t>HDPE, it was recommended that the weld joints would be strong as or stronger than the original pipe itself.</w:t>
      </w:r>
      <w:r w:rsidR="00854966">
        <w:rPr>
          <w:rStyle w:val="FootnoteReference"/>
          <w:rFonts w:eastAsia="Times New Roman" w:cs="Arial"/>
          <w:bCs/>
          <w:sz w:val="24"/>
          <w:szCs w:val="24"/>
        </w:rPr>
        <w:footnoteReference w:id="2"/>
      </w:r>
      <w:r w:rsidR="004F1B92">
        <w:rPr>
          <w:rFonts w:eastAsia="Times New Roman" w:cs="Arial"/>
          <w:bCs/>
          <w:sz w:val="24"/>
          <w:szCs w:val="24"/>
        </w:rPr>
        <w:t xml:space="preserve"> The test was stopped after twenty four hours; the first reason was last measurement at twenty four hours showed that creep was a certain factor in preparing to use HDPE. Another unfortunate reason was that during the vacuum check of the HDPE, the pipe was inadvertently rotated within the pipe stands. Every measurement past twenty four hours would have been corrupted data.</w:t>
      </w:r>
    </w:p>
    <w:p w:rsidR="004F1B92" w:rsidRDefault="004F1B92" w:rsidP="004F1B92">
      <w:pPr>
        <w:ind w:firstLine="720"/>
        <w:jc w:val="both"/>
        <w:rPr>
          <w:rFonts w:eastAsia="Times New Roman" w:cs="Arial"/>
          <w:bCs/>
          <w:sz w:val="24"/>
          <w:szCs w:val="24"/>
        </w:rPr>
      </w:pPr>
      <w:r>
        <w:rPr>
          <w:rFonts w:eastAsia="Times New Roman" w:cs="Arial"/>
          <w:bCs/>
          <w:sz w:val="24"/>
          <w:szCs w:val="24"/>
        </w:rPr>
        <w:t>A second piece of HDPE was procured and delivered to the NM4 hall. At NM4, this twenty five foot section of one piece HDPE was spanned across two pipe stands. Using the same method of measuring the elevation change as a function of time, the results are plotted in Figure 2.</w:t>
      </w:r>
    </w:p>
    <w:p w:rsidR="004F1B92" w:rsidRDefault="004F1B92" w:rsidP="004F1B92">
      <w:r w:rsidRPr="004F1B92">
        <w:rPr>
          <w:noProof/>
        </w:rPr>
        <w:lastRenderedPageBreak/>
        <w:drawing>
          <wp:inline distT="0" distB="0" distL="0" distR="0">
            <wp:extent cx="5943600" cy="4114800"/>
            <wp:effectExtent l="19050" t="0" r="19050" b="0"/>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1B92" w:rsidRPr="004F1B92" w:rsidRDefault="004F1B92" w:rsidP="004F1B92">
      <w:pPr>
        <w:pStyle w:val="Caption"/>
        <w:jc w:val="center"/>
        <w:rPr>
          <w:color w:val="auto"/>
        </w:rPr>
      </w:pPr>
      <w:r w:rsidRPr="007352E4">
        <w:rPr>
          <w:color w:val="auto"/>
        </w:rPr>
        <w:t xml:space="preserve">Figure </w:t>
      </w:r>
      <w:r w:rsidR="000122B0" w:rsidRPr="007352E4">
        <w:rPr>
          <w:color w:val="auto"/>
        </w:rPr>
        <w:fldChar w:fldCharType="begin"/>
      </w:r>
      <w:r w:rsidRPr="007352E4">
        <w:rPr>
          <w:color w:val="auto"/>
        </w:rPr>
        <w:instrText xml:space="preserve"> SEQ Figure \* ARABIC </w:instrText>
      </w:r>
      <w:r w:rsidR="000122B0" w:rsidRPr="007352E4">
        <w:rPr>
          <w:color w:val="auto"/>
        </w:rPr>
        <w:fldChar w:fldCharType="separate"/>
      </w:r>
      <w:r>
        <w:rPr>
          <w:noProof/>
          <w:color w:val="auto"/>
        </w:rPr>
        <w:t>2</w:t>
      </w:r>
      <w:r w:rsidR="000122B0" w:rsidRPr="007352E4">
        <w:rPr>
          <w:color w:val="auto"/>
        </w:rPr>
        <w:fldChar w:fldCharType="end"/>
      </w:r>
      <w:r w:rsidRPr="007352E4">
        <w:rPr>
          <w:color w:val="auto"/>
        </w:rPr>
        <w:t xml:space="preserve"> Plot of elevation change of single piece HDPE</w:t>
      </w:r>
    </w:p>
    <w:p w:rsidR="00983F3D" w:rsidRDefault="00983F3D" w:rsidP="00983F3D">
      <w:pPr>
        <w:ind w:firstLine="720"/>
        <w:jc w:val="both"/>
        <w:rPr>
          <w:rFonts w:eastAsia="Times New Roman" w:cs="Arial"/>
          <w:bCs/>
          <w:sz w:val="24"/>
          <w:szCs w:val="24"/>
        </w:rPr>
      </w:pPr>
      <w:r>
        <w:rPr>
          <w:rFonts w:eastAsia="Times New Roman" w:cs="Arial"/>
          <w:bCs/>
          <w:sz w:val="24"/>
          <w:szCs w:val="24"/>
        </w:rPr>
        <w:t xml:space="preserve"> </w:t>
      </w:r>
      <w:r w:rsidR="004F1B92">
        <w:rPr>
          <w:rFonts w:eastAsia="Times New Roman" w:cs="Arial"/>
          <w:bCs/>
          <w:sz w:val="24"/>
          <w:szCs w:val="24"/>
        </w:rPr>
        <w:t xml:space="preserve">Below is the </w:t>
      </w:r>
      <w:r>
        <w:rPr>
          <w:rFonts w:eastAsia="Times New Roman" w:cs="Arial"/>
          <w:bCs/>
          <w:sz w:val="24"/>
          <w:szCs w:val="24"/>
        </w:rPr>
        <w:t xml:space="preserve">equation </w:t>
      </w:r>
      <w:r w:rsidR="004F1B92">
        <w:rPr>
          <w:rFonts w:eastAsia="Times New Roman" w:cs="Arial"/>
          <w:bCs/>
          <w:sz w:val="24"/>
          <w:szCs w:val="24"/>
        </w:rPr>
        <w:t xml:space="preserve">for the deflection at the midpoint of the pipe, where </w:t>
      </w:r>
      <w:r>
        <w:rPr>
          <w:rFonts w:eastAsia="Times New Roman" w:cs="Arial"/>
          <w:bCs/>
          <w:sz w:val="24"/>
          <w:szCs w:val="24"/>
        </w:rPr>
        <w:t xml:space="preserve">δ is </w:t>
      </w:r>
      <w:r w:rsidR="005B02BC">
        <w:rPr>
          <w:rFonts w:eastAsia="Times New Roman" w:cs="Arial"/>
          <w:bCs/>
          <w:sz w:val="24"/>
          <w:szCs w:val="24"/>
        </w:rPr>
        <w:t>t</w:t>
      </w:r>
      <w:r>
        <w:rPr>
          <w:rFonts w:eastAsia="Times New Roman" w:cs="Arial"/>
          <w:bCs/>
          <w:sz w:val="24"/>
          <w:szCs w:val="24"/>
        </w:rPr>
        <w:t xml:space="preserve">he deflection, q is the force applied evenly across the pipe, L is the length between the two points of support, E is the </w:t>
      </w:r>
      <w:r>
        <w:t>Modulus of Elasticity</w:t>
      </w:r>
      <w:r>
        <w:rPr>
          <w:rFonts w:eastAsia="Times New Roman" w:cs="Arial"/>
          <w:bCs/>
          <w:sz w:val="24"/>
          <w:szCs w:val="24"/>
        </w:rPr>
        <w:t xml:space="preserve"> and I is the moment of inertia:</w:t>
      </w:r>
      <w:r w:rsidR="006B3241">
        <w:rPr>
          <w:rStyle w:val="FootnoteReference"/>
          <w:rFonts w:eastAsia="Times New Roman" w:cs="Arial"/>
          <w:bCs/>
          <w:sz w:val="24"/>
          <w:szCs w:val="24"/>
        </w:rPr>
        <w:footnoteReference w:id="3"/>
      </w:r>
    </w:p>
    <w:p w:rsidR="003735D9" w:rsidRDefault="00983F3D" w:rsidP="003735D9">
      <w:pPr>
        <w:ind w:firstLine="720"/>
        <w:jc w:val="center"/>
        <w:rPr>
          <w:rFonts w:eastAsia="Times New Roman" w:cs="Arial"/>
          <w:bCs/>
          <w:sz w:val="24"/>
          <w:szCs w:val="24"/>
        </w:rPr>
      </w:pPr>
      <m:oMathPara>
        <m:oMath>
          <m:r>
            <w:rPr>
              <w:rFonts w:ascii="Cambria Math" w:eastAsia="Times New Roman" w:hAnsi="Cambria Math" w:cs="Arial"/>
              <w:sz w:val="24"/>
              <w:szCs w:val="24"/>
            </w:rPr>
            <m:t xml:space="preserve">δ = </m:t>
          </m:r>
          <m:d>
            <m:dPr>
              <m:ctrlPr>
                <w:rPr>
                  <w:rFonts w:ascii="Cambria Math" w:eastAsia="Times New Roman" w:hAnsi="Cambria Math" w:cs="Arial"/>
                  <w:bCs/>
                  <w:i/>
                  <w:sz w:val="24"/>
                  <w:szCs w:val="24"/>
                </w:rPr>
              </m:ctrlPr>
            </m:dPr>
            <m:e>
              <m:f>
                <m:fPr>
                  <m:ctrlPr>
                    <w:rPr>
                      <w:rFonts w:ascii="Cambria Math" w:eastAsia="Times New Roman" w:hAnsi="Cambria Math" w:cs="Arial"/>
                      <w:bCs/>
                      <w:i/>
                      <w:sz w:val="24"/>
                      <w:szCs w:val="24"/>
                    </w:rPr>
                  </m:ctrlPr>
                </m:fPr>
                <m:num>
                  <m:r>
                    <w:rPr>
                      <w:rFonts w:ascii="Cambria Math" w:eastAsia="Times New Roman" w:hAnsi="Cambria Math" w:cs="Arial"/>
                      <w:sz w:val="24"/>
                      <w:szCs w:val="24"/>
                    </w:rPr>
                    <m:t>5×q ×</m:t>
                  </m:r>
                  <m:sSup>
                    <m:sSupPr>
                      <m:ctrlPr>
                        <w:rPr>
                          <w:rFonts w:ascii="Cambria Math" w:eastAsia="Times New Roman" w:hAnsi="Cambria Math" w:cs="Arial"/>
                          <w:bCs/>
                          <w:i/>
                          <w:sz w:val="24"/>
                          <w:szCs w:val="24"/>
                        </w:rPr>
                      </m:ctrlPr>
                    </m:sSupPr>
                    <m:e>
                      <m:r>
                        <w:rPr>
                          <w:rFonts w:ascii="Cambria Math" w:eastAsia="Times New Roman" w:hAnsi="Cambria Math" w:cs="Arial"/>
                          <w:sz w:val="24"/>
                          <w:szCs w:val="24"/>
                        </w:rPr>
                        <m:t>L</m:t>
                      </m:r>
                    </m:e>
                    <m:sup>
                      <m:r>
                        <w:rPr>
                          <w:rFonts w:ascii="Cambria Math" w:eastAsia="Times New Roman" w:hAnsi="Cambria Math" w:cs="Arial"/>
                          <w:sz w:val="24"/>
                          <w:szCs w:val="24"/>
                        </w:rPr>
                        <m:t>4</m:t>
                      </m:r>
                    </m:sup>
                  </m:sSup>
                </m:num>
                <m:den>
                  <m:r>
                    <w:rPr>
                      <w:rFonts w:ascii="Cambria Math" w:eastAsia="Times New Roman" w:hAnsi="Cambria Math" w:cs="Arial"/>
                      <w:sz w:val="24"/>
                      <w:szCs w:val="24"/>
                    </w:rPr>
                    <m:t>384×E×I</m:t>
                  </m:r>
                </m:den>
              </m:f>
            </m:e>
          </m:d>
        </m:oMath>
      </m:oMathPara>
    </w:p>
    <w:p w:rsidR="003735D9" w:rsidRDefault="003735D9" w:rsidP="003735D9">
      <w:pPr>
        <w:ind w:firstLine="720"/>
        <w:rPr>
          <w:rFonts w:eastAsia="Times New Roman" w:cs="Arial"/>
          <w:bCs/>
          <w:sz w:val="24"/>
          <w:szCs w:val="24"/>
        </w:rPr>
      </w:pPr>
      <w:r>
        <w:rPr>
          <w:rFonts w:eastAsia="Times New Roman" w:cs="Arial"/>
          <w:bCs/>
          <w:sz w:val="24"/>
          <w:szCs w:val="24"/>
        </w:rPr>
        <w:t>Solving for E:</w:t>
      </w:r>
    </w:p>
    <w:p w:rsidR="003735D9" w:rsidRDefault="003735D9" w:rsidP="003735D9">
      <w:pPr>
        <w:ind w:firstLine="720"/>
        <w:rPr>
          <w:rFonts w:eastAsia="Times New Roman" w:cs="Arial"/>
          <w:bCs/>
          <w:sz w:val="24"/>
          <w:szCs w:val="24"/>
        </w:rPr>
      </w:pPr>
      <m:oMathPara>
        <m:oMath>
          <m:r>
            <w:rPr>
              <w:rFonts w:ascii="Cambria Math" w:eastAsia="Times New Roman" w:hAnsi="Cambria Math" w:cs="Arial"/>
              <w:sz w:val="24"/>
              <w:szCs w:val="24"/>
            </w:rPr>
            <m:t>E=</m:t>
          </m:r>
          <m:d>
            <m:dPr>
              <m:ctrlPr>
                <w:rPr>
                  <w:rFonts w:ascii="Cambria Math" w:eastAsia="Times New Roman" w:hAnsi="Cambria Math" w:cs="Arial"/>
                  <w:bCs/>
                  <w:i/>
                  <w:sz w:val="24"/>
                  <w:szCs w:val="24"/>
                </w:rPr>
              </m:ctrlPr>
            </m:dPr>
            <m:e>
              <m:f>
                <m:fPr>
                  <m:ctrlPr>
                    <w:rPr>
                      <w:rFonts w:ascii="Cambria Math" w:eastAsia="Times New Roman" w:hAnsi="Cambria Math" w:cs="Arial"/>
                      <w:bCs/>
                      <w:i/>
                      <w:sz w:val="24"/>
                      <w:szCs w:val="24"/>
                    </w:rPr>
                  </m:ctrlPr>
                </m:fPr>
                <m:num>
                  <m:r>
                    <w:rPr>
                      <w:rFonts w:ascii="Cambria Math" w:eastAsia="Times New Roman" w:hAnsi="Cambria Math" w:cs="Arial"/>
                      <w:sz w:val="24"/>
                      <w:szCs w:val="24"/>
                    </w:rPr>
                    <m:t>5×q ×</m:t>
                  </m:r>
                  <m:sSup>
                    <m:sSupPr>
                      <m:ctrlPr>
                        <w:rPr>
                          <w:rFonts w:ascii="Cambria Math" w:eastAsia="Times New Roman" w:hAnsi="Cambria Math" w:cs="Arial"/>
                          <w:bCs/>
                          <w:i/>
                          <w:sz w:val="24"/>
                          <w:szCs w:val="24"/>
                        </w:rPr>
                      </m:ctrlPr>
                    </m:sSupPr>
                    <m:e>
                      <m:r>
                        <w:rPr>
                          <w:rFonts w:ascii="Cambria Math" w:eastAsia="Times New Roman" w:hAnsi="Cambria Math" w:cs="Arial"/>
                          <w:sz w:val="24"/>
                          <w:szCs w:val="24"/>
                        </w:rPr>
                        <m:t>L</m:t>
                      </m:r>
                    </m:e>
                    <m:sup>
                      <m:r>
                        <w:rPr>
                          <w:rFonts w:ascii="Cambria Math" w:eastAsia="Times New Roman" w:hAnsi="Cambria Math" w:cs="Arial"/>
                          <w:sz w:val="24"/>
                          <w:szCs w:val="24"/>
                        </w:rPr>
                        <m:t>4</m:t>
                      </m:r>
                    </m:sup>
                  </m:sSup>
                </m:num>
                <m:den>
                  <m:r>
                    <w:rPr>
                      <w:rFonts w:ascii="Cambria Math" w:eastAsia="Times New Roman" w:hAnsi="Cambria Math" w:cs="Arial"/>
                      <w:sz w:val="24"/>
                      <w:szCs w:val="24"/>
                    </w:rPr>
                    <m:t>δ ×384×I</m:t>
                  </m:r>
                </m:den>
              </m:f>
            </m:e>
          </m:d>
          <m:r>
            <w:rPr>
              <w:rFonts w:ascii="Cambria Math" w:eastAsia="Times New Roman" w:hAnsi="Cambria Math" w:cs="Arial"/>
              <w:sz w:val="24"/>
              <w:szCs w:val="24"/>
            </w:rPr>
            <m:t xml:space="preserve"> </m:t>
          </m:r>
        </m:oMath>
      </m:oMathPara>
    </w:p>
    <w:p w:rsidR="007352E4" w:rsidRDefault="004F1B92" w:rsidP="004F1B92">
      <w:pPr>
        <w:jc w:val="both"/>
      </w:pPr>
      <w:r>
        <w:rPr>
          <w:rFonts w:eastAsia="Times New Roman" w:cs="Arial"/>
          <w:bCs/>
          <w:sz w:val="24"/>
          <w:szCs w:val="24"/>
        </w:rPr>
        <w:tab/>
        <w:t>Figure 3 shows the calculated Modulus of Elasticity of the HDPE pipe versus time.</w:t>
      </w:r>
    </w:p>
    <w:p w:rsidR="002E4058" w:rsidRDefault="00E61D58" w:rsidP="002E4058">
      <w:pPr>
        <w:pStyle w:val="Caption"/>
        <w:keepNext/>
        <w:jc w:val="center"/>
      </w:pPr>
      <w:r w:rsidRPr="00E61D58">
        <w:rPr>
          <w:b w:val="0"/>
          <w:noProof/>
          <w:color w:val="auto"/>
          <w:sz w:val="24"/>
          <w:szCs w:val="24"/>
        </w:rPr>
        <w:lastRenderedPageBreak/>
        <w:drawing>
          <wp:inline distT="0" distB="0" distL="0" distR="0">
            <wp:extent cx="5876925" cy="3952875"/>
            <wp:effectExtent l="19050" t="0" r="9525"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37B4" w:rsidRPr="002E4058" w:rsidRDefault="002E4058" w:rsidP="002E4058">
      <w:pPr>
        <w:pStyle w:val="Caption"/>
        <w:jc w:val="center"/>
        <w:rPr>
          <w:color w:val="auto"/>
          <w:sz w:val="24"/>
          <w:szCs w:val="24"/>
        </w:rPr>
      </w:pPr>
      <w:r w:rsidRPr="002E4058">
        <w:rPr>
          <w:color w:val="auto"/>
        </w:rPr>
        <w:t xml:space="preserve">Figure </w:t>
      </w:r>
      <w:r w:rsidR="000122B0" w:rsidRPr="002E4058">
        <w:rPr>
          <w:color w:val="auto"/>
        </w:rPr>
        <w:fldChar w:fldCharType="begin"/>
      </w:r>
      <w:r w:rsidRPr="002E4058">
        <w:rPr>
          <w:color w:val="auto"/>
        </w:rPr>
        <w:instrText xml:space="preserve"> SEQ Figure \* ARABIC </w:instrText>
      </w:r>
      <w:r w:rsidR="000122B0" w:rsidRPr="002E4058">
        <w:rPr>
          <w:color w:val="auto"/>
        </w:rPr>
        <w:fldChar w:fldCharType="separate"/>
      </w:r>
      <w:r w:rsidRPr="002E4058">
        <w:rPr>
          <w:noProof/>
          <w:color w:val="auto"/>
        </w:rPr>
        <w:t>3</w:t>
      </w:r>
      <w:r w:rsidR="000122B0" w:rsidRPr="002E4058">
        <w:rPr>
          <w:color w:val="auto"/>
        </w:rPr>
        <w:fldChar w:fldCharType="end"/>
      </w:r>
      <w:r w:rsidRPr="002E4058">
        <w:rPr>
          <w:color w:val="auto"/>
        </w:rPr>
        <w:t xml:space="preserve"> Plot of sag change (creep) of single piece HDPE</w:t>
      </w:r>
    </w:p>
    <w:p w:rsidR="00842EE9" w:rsidRDefault="0020759B" w:rsidP="0020759B">
      <w:pPr>
        <w:pStyle w:val="Caption"/>
        <w:rPr>
          <w:b w:val="0"/>
          <w:color w:val="auto"/>
          <w:sz w:val="28"/>
          <w:szCs w:val="28"/>
        </w:rPr>
      </w:pPr>
      <w:r w:rsidRPr="0020759B">
        <w:rPr>
          <w:b w:val="0"/>
          <w:color w:val="auto"/>
          <w:sz w:val="28"/>
          <w:szCs w:val="28"/>
        </w:rPr>
        <w:t>Conclusion</w:t>
      </w:r>
    </w:p>
    <w:p w:rsidR="00D33E6E" w:rsidRDefault="005B02BC" w:rsidP="005B02BC">
      <w:pPr>
        <w:jc w:val="both"/>
        <w:rPr>
          <w:sz w:val="24"/>
          <w:szCs w:val="24"/>
        </w:rPr>
      </w:pPr>
      <w:r w:rsidRPr="005B02BC">
        <w:rPr>
          <w:sz w:val="24"/>
          <w:szCs w:val="24"/>
        </w:rPr>
        <w:tab/>
        <w:t xml:space="preserve">Sag in the HDPE pipe is a key factor when calculating the aperture of this pipe. </w:t>
      </w:r>
      <w:r w:rsidR="00D33E6E">
        <w:rPr>
          <w:sz w:val="24"/>
          <w:szCs w:val="24"/>
        </w:rPr>
        <w:t>Calculating the creep in HDPE is also an important factor. However, i</w:t>
      </w:r>
      <w:r>
        <w:rPr>
          <w:sz w:val="24"/>
          <w:szCs w:val="24"/>
        </w:rPr>
        <w:t xml:space="preserve">t is inconclusive with the present data set to compare a fused section of HDPE with one that isn’t. </w:t>
      </w:r>
      <w:r w:rsidR="00D33E6E">
        <w:rPr>
          <w:sz w:val="24"/>
          <w:szCs w:val="24"/>
        </w:rPr>
        <w:tab/>
      </w:r>
    </w:p>
    <w:p w:rsidR="00417232" w:rsidRPr="005B02BC" w:rsidRDefault="00D33E6E" w:rsidP="005B02BC">
      <w:pPr>
        <w:jc w:val="both"/>
        <w:rPr>
          <w:sz w:val="24"/>
          <w:szCs w:val="24"/>
        </w:rPr>
      </w:pPr>
      <w:r>
        <w:rPr>
          <w:sz w:val="24"/>
          <w:szCs w:val="24"/>
        </w:rPr>
        <w:tab/>
      </w:r>
      <w:r w:rsidR="002E4058">
        <w:rPr>
          <w:sz w:val="24"/>
          <w:szCs w:val="24"/>
        </w:rPr>
        <w:t>With the data that we</w:t>
      </w:r>
      <w:r>
        <w:rPr>
          <w:sz w:val="24"/>
          <w:szCs w:val="24"/>
        </w:rPr>
        <w:t xml:space="preserve"> do</w:t>
      </w:r>
      <w:r w:rsidR="002E4058">
        <w:rPr>
          <w:sz w:val="24"/>
          <w:szCs w:val="24"/>
        </w:rPr>
        <w:t xml:space="preserve"> have, creep does </w:t>
      </w:r>
      <w:r w:rsidR="004F1B92">
        <w:rPr>
          <w:sz w:val="24"/>
          <w:szCs w:val="24"/>
        </w:rPr>
        <w:t>affect</w:t>
      </w:r>
      <w:r w:rsidR="002E4058">
        <w:rPr>
          <w:sz w:val="24"/>
          <w:szCs w:val="24"/>
        </w:rPr>
        <w:t xml:space="preserve"> the aperture of this DR11 14” HDPE pipe over its normal weight with no added force acting on the pipe.</w:t>
      </w:r>
      <w:r w:rsidR="004F1B92">
        <w:rPr>
          <w:sz w:val="24"/>
          <w:szCs w:val="24"/>
        </w:rPr>
        <w:t xml:space="preserve"> </w:t>
      </w:r>
      <w:r w:rsidR="00417232">
        <w:rPr>
          <w:sz w:val="24"/>
          <w:szCs w:val="24"/>
        </w:rPr>
        <w:t>If taken the last calculated Modulus of Elasticity</w:t>
      </w:r>
      <w:r w:rsidR="00882D1E">
        <w:rPr>
          <w:sz w:val="24"/>
          <w:szCs w:val="24"/>
        </w:rPr>
        <w:t>, 127,000 psi,</w:t>
      </w:r>
      <w:r w:rsidR="00417232">
        <w:rPr>
          <w:sz w:val="24"/>
          <w:szCs w:val="24"/>
        </w:rPr>
        <w:t xml:space="preserve"> to a 40’ section of HDPE, its deflection will be greater than 8 inches. Therefore the HDPE pipe would sit on the bottom of the steel pipe in all of the transitions.</w:t>
      </w:r>
      <w:r>
        <w:rPr>
          <w:sz w:val="24"/>
          <w:szCs w:val="24"/>
        </w:rPr>
        <w:t xml:space="preserve"> In best case scenar</w:t>
      </w:r>
      <w:r w:rsidR="00303594">
        <w:rPr>
          <w:sz w:val="24"/>
          <w:szCs w:val="24"/>
        </w:rPr>
        <w:t>io the largest aperture is 4.3</w:t>
      </w:r>
      <w:r w:rsidR="003E738C">
        <w:rPr>
          <w:sz w:val="24"/>
          <w:szCs w:val="24"/>
        </w:rPr>
        <w:t xml:space="preserve"> inches.</w:t>
      </w:r>
    </w:p>
    <w:sectPr w:rsidR="00417232" w:rsidRPr="005B02BC" w:rsidSect="005438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60A" w:rsidRDefault="008E360A" w:rsidP="00C76705">
      <w:pPr>
        <w:spacing w:after="0" w:line="240" w:lineRule="auto"/>
      </w:pPr>
      <w:r>
        <w:separator/>
      </w:r>
    </w:p>
  </w:endnote>
  <w:endnote w:type="continuationSeparator" w:id="0">
    <w:p w:rsidR="008E360A" w:rsidRDefault="008E360A" w:rsidP="00C76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60A" w:rsidRDefault="008E360A" w:rsidP="00C76705">
      <w:pPr>
        <w:spacing w:after="0" w:line="240" w:lineRule="auto"/>
      </w:pPr>
      <w:r>
        <w:separator/>
      </w:r>
    </w:p>
  </w:footnote>
  <w:footnote w:type="continuationSeparator" w:id="0">
    <w:p w:rsidR="008E360A" w:rsidRDefault="008E360A" w:rsidP="00C76705">
      <w:pPr>
        <w:spacing w:after="0" w:line="240" w:lineRule="auto"/>
      </w:pPr>
      <w:r>
        <w:continuationSeparator/>
      </w:r>
    </w:p>
  </w:footnote>
  <w:footnote w:id="1">
    <w:p w:rsidR="00F83A9D" w:rsidRDefault="00F83A9D">
      <w:pPr>
        <w:pStyle w:val="FootnoteText"/>
      </w:pPr>
      <w:r>
        <w:rPr>
          <w:rStyle w:val="FootnoteReference"/>
        </w:rPr>
        <w:footnoteRef/>
      </w:r>
      <w:r>
        <w:t xml:space="preserve"> Buried Pipe Design 3</w:t>
      </w:r>
      <w:r w:rsidRPr="00F83A9D">
        <w:rPr>
          <w:vertAlign w:val="superscript"/>
        </w:rPr>
        <w:t>rd</w:t>
      </w:r>
      <w:r>
        <w:t xml:space="preserve"> Ed. Moser and </w:t>
      </w:r>
      <w:proofErr w:type="spellStart"/>
      <w:r>
        <w:t>Folkman</w:t>
      </w:r>
      <w:proofErr w:type="spellEnd"/>
      <w:r>
        <w:t xml:space="preserve"> pg 96</w:t>
      </w:r>
    </w:p>
  </w:footnote>
  <w:footnote w:id="2">
    <w:p w:rsidR="00854966" w:rsidRDefault="00854966">
      <w:pPr>
        <w:pStyle w:val="FootnoteText"/>
      </w:pPr>
      <w:r>
        <w:rPr>
          <w:rStyle w:val="FootnoteReference"/>
        </w:rPr>
        <w:footnoteRef/>
      </w:r>
      <w:r>
        <w:t xml:space="preserve"> Private conversation with Jim Sparks, Mid America Underground</w:t>
      </w:r>
    </w:p>
  </w:footnote>
  <w:footnote w:id="3">
    <w:p w:rsidR="006B3241" w:rsidRDefault="006B3241">
      <w:pPr>
        <w:pStyle w:val="FootnoteText"/>
      </w:pPr>
      <w:r>
        <w:rPr>
          <w:rStyle w:val="FootnoteReference"/>
        </w:rPr>
        <w:footnoteRef/>
      </w:r>
      <w:r>
        <w:t xml:space="preserve"> </w:t>
      </w:r>
      <w:r w:rsidRPr="006B3241">
        <w:rPr>
          <w:rStyle w:val="fntsubtitle"/>
        </w:rPr>
        <w:t>Mechanics of Materials, 3rd Edition, 1990</w:t>
      </w:r>
      <w:r>
        <w:rPr>
          <w:rStyle w:val="fntsubtitle"/>
        </w:rPr>
        <w:t xml:space="preserve"> Gere and </w:t>
      </w:r>
      <w:hyperlink r:id="rId1" w:history="1">
        <w:r w:rsidRPr="006B3241">
          <w:rPr>
            <w:rStyle w:val="Hyperlink"/>
            <w:color w:val="333333"/>
            <w:u w:val="none"/>
          </w:rPr>
          <w:t>Timoshenko</w:t>
        </w:r>
      </w:hyperlink>
      <w:r>
        <w:t xml:space="preserve"> </w:t>
      </w:r>
      <w:r>
        <w:rPr>
          <w:rStyle w:val="fntsubtitle"/>
        </w:rPr>
        <w:t>pg 774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0E62"/>
    <w:rsid w:val="000122B0"/>
    <w:rsid w:val="00035168"/>
    <w:rsid w:val="0007056A"/>
    <w:rsid w:val="000903B4"/>
    <w:rsid w:val="000926B4"/>
    <w:rsid w:val="000C1281"/>
    <w:rsid w:val="000F46AA"/>
    <w:rsid w:val="00183DD5"/>
    <w:rsid w:val="00185AF4"/>
    <w:rsid w:val="00187ADA"/>
    <w:rsid w:val="001B20C2"/>
    <w:rsid w:val="001B3040"/>
    <w:rsid w:val="001E37B4"/>
    <w:rsid w:val="00205936"/>
    <w:rsid w:val="0020759B"/>
    <w:rsid w:val="00237BBA"/>
    <w:rsid w:val="0028277D"/>
    <w:rsid w:val="002957C2"/>
    <w:rsid w:val="002D50F1"/>
    <w:rsid w:val="002E4058"/>
    <w:rsid w:val="00303594"/>
    <w:rsid w:val="00316C56"/>
    <w:rsid w:val="003232CE"/>
    <w:rsid w:val="003232D4"/>
    <w:rsid w:val="00333FFD"/>
    <w:rsid w:val="00360CDD"/>
    <w:rsid w:val="00365D4C"/>
    <w:rsid w:val="003735D9"/>
    <w:rsid w:val="003A54AA"/>
    <w:rsid w:val="003B3659"/>
    <w:rsid w:val="003B5859"/>
    <w:rsid w:val="003C3FF9"/>
    <w:rsid w:val="003E4C85"/>
    <w:rsid w:val="003E738C"/>
    <w:rsid w:val="0040586A"/>
    <w:rsid w:val="00410D10"/>
    <w:rsid w:val="00417232"/>
    <w:rsid w:val="004A3B1C"/>
    <w:rsid w:val="004B0A6D"/>
    <w:rsid w:val="004C047D"/>
    <w:rsid w:val="004C3CC6"/>
    <w:rsid w:val="004E0554"/>
    <w:rsid w:val="004F1B92"/>
    <w:rsid w:val="00506C59"/>
    <w:rsid w:val="005108AE"/>
    <w:rsid w:val="005263FD"/>
    <w:rsid w:val="00543834"/>
    <w:rsid w:val="0059415E"/>
    <w:rsid w:val="005B02BC"/>
    <w:rsid w:val="005C6390"/>
    <w:rsid w:val="005E01BD"/>
    <w:rsid w:val="005E7033"/>
    <w:rsid w:val="006179A8"/>
    <w:rsid w:val="0062718D"/>
    <w:rsid w:val="00642D48"/>
    <w:rsid w:val="006A45CB"/>
    <w:rsid w:val="006B3241"/>
    <w:rsid w:val="006D7990"/>
    <w:rsid w:val="00707983"/>
    <w:rsid w:val="00707E98"/>
    <w:rsid w:val="00716264"/>
    <w:rsid w:val="007205A8"/>
    <w:rsid w:val="007329B9"/>
    <w:rsid w:val="007352E4"/>
    <w:rsid w:val="007424EF"/>
    <w:rsid w:val="007734F1"/>
    <w:rsid w:val="007A4121"/>
    <w:rsid w:val="007B4B22"/>
    <w:rsid w:val="007F5ABE"/>
    <w:rsid w:val="00842EE9"/>
    <w:rsid w:val="00854966"/>
    <w:rsid w:val="00882D1E"/>
    <w:rsid w:val="00890C01"/>
    <w:rsid w:val="00893359"/>
    <w:rsid w:val="008B1AEA"/>
    <w:rsid w:val="008C2771"/>
    <w:rsid w:val="008D5E89"/>
    <w:rsid w:val="008E360A"/>
    <w:rsid w:val="008F5CA7"/>
    <w:rsid w:val="008F5E96"/>
    <w:rsid w:val="00904A03"/>
    <w:rsid w:val="009103F5"/>
    <w:rsid w:val="0093643B"/>
    <w:rsid w:val="00943DEE"/>
    <w:rsid w:val="00945D65"/>
    <w:rsid w:val="00960E62"/>
    <w:rsid w:val="0096211A"/>
    <w:rsid w:val="00973774"/>
    <w:rsid w:val="00983F3D"/>
    <w:rsid w:val="009A6914"/>
    <w:rsid w:val="009C009E"/>
    <w:rsid w:val="009D5985"/>
    <w:rsid w:val="009D6FFA"/>
    <w:rsid w:val="009E52E6"/>
    <w:rsid w:val="009E6ACE"/>
    <w:rsid w:val="00A003A9"/>
    <w:rsid w:val="00A072CC"/>
    <w:rsid w:val="00A226C9"/>
    <w:rsid w:val="00A73259"/>
    <w:rsid w:val="00A813C6"/>
    <w:rsid w:val="00AA6232"/>
    <w:rsid w:val="00AA7690"/>
    <w:rsid w:val="00AC42C5"/>
    <w:rsid w:val="00AF1DD9"/>
    <w:rsid w:val="00AF20D4"/>
    <w:rsid w:val="00AF4C00"/>
    <w:rsid w:val="00B220F3"/>
    <w:rsid w:val="00B27A8F"/>
    <w:rsid w:val="00B94712"/>
    <w:rsid w:val="00BA46D9"/>
    <w:rsid w:val="00C11839"/>
    <w:rsid w:val="00C1500D"/>
    <w:rsid w:val="00C31BF0"/>
    <w:rsid w:val="00C32123"/>
    <w:rsid w:val="00C76705"/>
    <w:rsid w:val="00C806DF"/>
    <w:rsid w:val="00C93294"/>
    <w:rsid w:val="00CA1C71"/>
    <w:rsid w:val="00CA2F43"/>
    <w:rsid w:val="00D044F0"/>
    <w:rsid w:val="00D04ADE"/>
    <w:rsid w:val="00D2624B"/>
    <w:rsid w:val="00D30F24"/>
    <w:rsid w:val="00D33E6E"/>
    <w:rsid w:val="00D353BC"/>
    <w:rsid w:val="00D54801"/>
    <w:rsid w:val="00D66F1A"/>
    <w:rsid w:val="00D83649"/>
    <w:rsid w:val="00D97BD4"/>
    <w:rsid w:val="00DA5572"/>
    <w:rsid w:val="00DC0FFF"/>
    <w:rsid w:val="00DE14D0"/>
    <w:rsid w:val="00E10FFE"/>
    <w:rsid w:val="00E120EE"/>
    <w:rsid w:val="00E32EB5"/>
    <w:rsid w:val="00E36193"/>
    <w:rsid w:val="00E46912"/>
    <w:rsid w:val="00E569DC"/>
    <w:rsid w:val="00E56B32"/>
    <w:rsid w:val="00E61D58"/>
    <w:rsid w:val="00E76BB1"/>
    <w:rsid w:val="00E9167E"/>
    <w:rsid w:val="00E93ABF"/>
    <w:rsid w:val="00EA29A2"/>
    <w:rsid w:val="00ED5866"/>
    <w:rsid w:val="00EF43FB"/>
    <w:rsid w:val="00F13108"/>
    <w:rsid w:val="00F3735D"/>
    <w:rsid w:val="00F83A9D"/>
    <w:rsid w:val="00FF02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8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3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F43FB"/>
    <w:pPr>
      <w:spacing w:line="240" w:lineRule="auto"/>
    </w:pPr>
    <w:rPr>
      <w:b/>
      <w:bCs/>
      <w:color w:val="4F81BD" w:themeColor="accent1"/>
      <w:sz w:val="18"/>
      <w:szCs w:val="18"/>
    </w:rPr>
  </w:style>
  <w:style w:type="character" w:styleId="PlaceholderText">
    <w:name w:val="Placeholder Text"/>
    <w:basedOn w:val="DefaultParagraphFont"/>
    <w:uiPriority w:val="99"/>
    <w:semiHidden/>
    <w:rsid w:val="00360CDD"/>
    <w:rPr>
      <w:color w:val="808080"/>
    </w:rPr>
  </w:style>
  <w:style w:type="paragraph" w:styleId="BalloonText">
    <w:name w:val="Balloon Text"/>
    <w:basedOn w:val="Normal"/>
    <w:link w:val="BalloonTextChar"/>
    <w:uiPriority w:val="99"/>
    <w:semiHidden/>
    <w:unhideWhenUsed/>
    <w:rsid w:val="0036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CDD"/>
    <w:rPr>
      <w:rFonts w:ascii="Tahoma" w:hAnsi="Tahoma" w:cs="Tahoma"/>
      <w:sz w:val="16"/>
      <w:szCs w:val="16"/>
    </w:rPr>
  </w:style>
  <w:style w:type="paragraph" w:styleId="EndnoteText">
    <w:name w:val="endnote text"/>
    <w:basedOn w:val="Normal"/>
    <w:link w:val="EndnoteTextChar"/>
    <w:uiPriority w:val="99"/>
    <w:semiHidden/>
    <w:unhideWhenUsed/>
    <w:rsid w:val="00C76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6705"/>
    <w:rPr>
      <w:sz w:val="20"/>
      <w:szCs w:val="20"/>
    </w:rPr>
  </w:style>
  <w:style w:type="character" w:styleId="EndnoteReference">
    <w:name w:val="endnote reference"/>
    <w:basedOn w:val="DefaultParagraphFont"/>
    <w:uiPriority w:val="99"/>
    <w:semiHidden/>
    <w:unhideWhenUsed/>
    <w:rsid w:val="00C76705"/>
    <w:rPr>
      <w:vertAlign w:val="superscript"/>
    </w:rPr>
  </w:style>
  <w:style w:type="paragraph" w:styleId="FootnoteText">
    <w:name w:val="footnote text"/>
    <w:basedOn w:val="Normal"/>
    <w:link w:val="FootnoteTextChar"/>
    <w:uiPriority w:val="99"/>
    <w:semiHidden/>
    <w:unhideWhenUsed/>
    <w:rsid w:val="00C767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6705"/>
    <w:rPr>
      <w:sz w:val="20"/>
      <w:szCs w:val="20"/>
    </w:rPr>
  </w:style>
  <w:style w:type="character" w:styleId="FootnoteReference">
    <w:name w:val="footnote reference"/>
    <w:basedOn w:val="DefaultParagraphFont"/>
    <w:uiPriority w:val="99"/>
    <w:semiHidden/>
    <w:unhideWhenUsed/>
    <w:rsid w:val="00C76705"/>
    <w:rPr>
      <w:vertAlign w:val="superscript"/>
    </w:rPr>
  </w:style>
  <w:style w:type="character" w:customStyle="1" w:styleId="fntsubtitle">
    <w:name w:val="fntsubtitle"/>
    <w:basedOn w:val="DefaultParagraphFont"/>
    <w:rsid w:val="006B3241"/>
  </w:style>
  <w:style w:type="character" w:styleId="Hyperlink">
    <w:name w:val="Hyperlink"/>
    <w:basedOn w:val="DefaultParagraphFont"/>
    <w:uiPriority w:val="99"/>
    <w:semiHidden/>
    <w:unhideWhenUsed/>
    <w:rsid w:val="006B3241"/>
    <w:rPr>
      <w:color w:val="0000FF"/>
      <w:u w:val="single"/>
    </w:rPr>
  </w:style>
</w:styles>
</file>

<file path=word/webSettings.xml><?xml version="1.0" encoding="utf-8"?>
<w:webSettings xmlns:r="http://schemas.openxmlformats.org/officeDocument/2006/relationships" xmlns:w="http://schemas.openxmlformats.org/wordprocessingml/2006/main">
  <w:divs>
    <w:div w:id="1252474576">
      <w:bodyDiv w:val="1"/>
      <w:marLeft w:val="0"/>
      <w:marRight w:val="0"/>
      <w:marTop w:val="0"/>
      <w:marBottom w:val="0"/>
      <w:divBdr>
        <w:top w:val="none" w:sz="0" w:space="0" w:color="auto"/>
        <w:left w:val="none" w:sz="0" w:space="0" w:color="auto"/>
        <w:bottom w:val="none" w:sz="0" w:space="0" w:color="auto"/>
        <w:right w:val="none" w:sz="0" w:space="0" w:color="auto"/>
      </w:divBdr>
    </w:div>
    <w:div w:id="16945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_rels/footnotes.xml.rels><?xml version="1.0" encoding="UTF-8" standalone="yes"?>
<Relationships xmlns="http://schemas.openxmlformats.org/package/2006/relationships"><Relationship Id="rId1" Type="http://schemas.openxmlformats.org/officeDocument/2006/relationships/hyperlink" Target="http://www.bookbyte.com/searchresults.aspx?type=books&amp;kwd=Stephen%20P.%20Timoshenko"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geelhoed-admin\Application%20Data\Microsoft\Excel\HDPE%20Sag%20(version%202).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eelhoed-admin\Desktop\Creep\HDPE%20Sa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geelhoed-admin\Desktop\Creep\HDPE%20Sa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Sag of fused HDPE Pipe</a:t>
            </a:r>
          </a:p>
        </c:rich>
      </c:tx>
    </c:title>
    <c:plotArea>
      <c:layout/>
      <c:scatterChart>
        <c:scatterStyle val="lineMarker"/>
        <c:ser>
          <c:idx val="1"/>
          <c:order val="0"/>
          <c:tx>
            <c:strRef>
              <c:f>Sheet1!$D$1</c:f>
              <c:strCache>
                <c:ptCount val="1"/>
              </c:strCache>
            </c:strRef>
          </c:tx>
          <c:xVal>
            <c:numRef>
              <c:f>Sheet1!$B$2:$B$5</c:f>
              <c:numCache>
                <c:formatCode>General</c:formatCode>
                <c:ptCount val="4"/>
                <c:pt idx="0">
                  <c:v>1.0000000000000106E-8</c:v>
                </c:pt>
                <c:pt idx="1">
                  <c:v>2</c:v>
                </c:pt>
                <c:pt idx="2">
                  <c:v>18</c:v>
                </c:pt>
                <c:pt idx="3">
                  <c:v>24</c:v>
                </c:pt>
              </c:numCache>
            </c:numRef>
          </c:xVal>
          <c:yVal>
            <c:numRef>
              <c:f>Sheet1!$D$2:$D$5</c:f>
              <c:numCache>
                <c:formatCode>General</c:formatCode>
                <c:ptCount val="4"/>
                <c:pt idx="0">
                  <c:v>0</c:v>
                </c:pt>
                <c:pt idx="1">
                  <c:v>0.5</c:v>
                </c:pt>
                <c:pt idx="2">
                  <c:v>0.75000000000000244</c:v>
                </c:pt>
                <c:pt idx="3">
                  <c:v>1.25</c:v>
                </c:pt>
              </c:numCache>
            </c:numRef>
          </c:yVal>
        </c:ser>
        <c:axId val="80243328"/>
        <c:axId val="80274176"/>
      </c:scatterChart>
      <c:valAx>
        <c:axId val="80243328"/>
        <c:scaling>
          <c:orientation val="minMax"/>
          <c:max val="25"/>
        </c:scaling>
        <c:axPos val="b"/>
        <c:majorGridlines/>
        <c:title>
          <c:tx>
            <c:rich>
              <a:bodyPr/>
              <a:lstStyle/>
              <a:p>
                <a:pPr>
                  <a:defRPr/>
                </a:pPr>
                <a:r>
                  <a:rPr lang="en-US"/>
                  <a:t>Time</a:t>
                </a:r>
                <a:r>
                  <a:rPr lang="en-US" baseline="0"/>
                  <a:t> (hrs)</a:t>
                </a:r>
                <a:endParaRPr lang="en-US"/>
              </a:p>
            </c:rich>
          </c:tx>
        </c:title>
        <c:numFmt formatCode="General" sourceLinked="1"/>
        <c:majorTickMark val="none"/>
        <c:tickLblPos val="nextTo"/>
        <c:crossAx val="80274176"/>
        <c:crosses val="autoZero"/>
        <c:crossBetween val="midCat"/>
      </c:valAx>
      <c:valAx>
        <c:axId val="80274176"/>
        <c:scaling>
          <c:orientation val="minMax"/>
        </c:scaling>
        <c:axPos val="l"/>
        <c:majorGridlines/>
        <c:title>
          <c:tx>
            <c:rich>
              <a:bodyPr/>
              <a:lstStyle/>
              <a:p>
                <a:pPr>
                  <a:defRPr/>
                </a:pPr>
                <a:r>
                  <a:rPr lang="en-US"/>
                  <a:t>Elevation</a:t>
                </a:r>
                <a:r>
                  <a:rPr lang="en-US" baseline="0"/>
                  <a:t> (inches)</a:t>
                </a:r>
                <a:endParaRPr lang="en-US"/>
              </a:p>
            </c:rich>
          </c:tx>
        </c:title>
        <c:numFmt formatCode="General" sourceLinked="1"/>
        <c:majorTickMark val="none"/>
        <c:tickLblPos val="nextTo"/>
        <c:crossAx val="80243328"/>
        <c:crosses val="autoZero"/>
        <c:crossBetween val="midCat"/>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HDPE DR11 14" Pipe Sag</a:t>
            </a:r>
          </a:p>
        </c:rich>
      </c:tx>
    </c:title>
    <c:plotArea>
      <c:layout/>
      <c:scatterChart>
        <c:scatterStyle val="lineMarker"/>
        <c:ser>
          <c:idx val="0"/>
          <c:order val="1"/>
          <c:tx>
            <c:strRef>
              <c:f>'NM4-1'!$F$1</c:f>
              <c:strCache>
                <c:ptCount val="1"/>
                <c:pt idx="0">
                  <c:v>Sag</c:v>
                </c:pt>
              </c:strCache>
            </c:strRef>
          </c:tx>
          <c:errBars>
            <c:errDir val="y"/>
            <c:errBarType val="both"/>
            <c:errValType val="fixedVal"/>
            <c:val val="3.125E-2"/>
          </c:errBars>
          <c:errBars>
            <c:errDir val="x"/>
            <c:errBarType val="both"/>
            <c:errValType val="fixedVal"/>
            <c:val val="1"/>
          </c:errBars>
          <c:xVal>
            <c:numRef>
              <c:f>'NM4-1'!$E$3:$E$9</c:f>
              <c:numCache>
                <c:formatCode>General</c:formatCode>
                <c:ptCount val="7"/>
                <c:pt idx="0">
                  <c:v>1</c:v>
                </c:pt>
                <c:pt idx="1">
                  <c:v>2</c:v>
                </c:pt>
                <c:pt idx="2">
                  <c:v>3</c:v>
                </c:pt>
                <c:pt idx="3">
                  <c:v>4</c:v>
                </c:pt>
                <c:pt idx="4">
                  <c:v>23</c:v>
                </c:pt>
                <c:pt idx="5">
                  <c:v>31</c:v>
                </c:pt>
                <c:pt idx="6">
                  <c:v>143</c:v>
                </c:pt>
              </c:numCache>
            </c:numRef>
          </c:xVal>
          <c:yVal>
            <c:numRef>
              <c:f>'NM4-1'!$F$3:$F$9</c:f>
              <c:numCache>
                <c:formatCode>General</c:formatCode>
                <c:ptCount val="7"/>
                <c:pt idx="0">
                  <c:v>0.18750000000000014</c:v>
                </c:pt>
                <c:pt idx="1">
                  <c:v>0.43750000000000028</c:v>
                </c:pt>
                <c:pt idx="2">
                  <c:v>0.5625</c:v>
                </c:pt>
                <c:pt idx="3">
                  <c:v>0.65625000000000056</c:v>
                </c:pt>
                <c:pt idx="4">
                  <c:v>0.90625</c:v>
                </c:pt>
                <c:pt idx="5">
                  <c:v>0.96875000000000056</c:v>
                </c:pt>
                <c:pt idx="6">
                  <c:v>1.1875</c:v>
                </c:pt>
              </c:numCache>
            </c:numRef>
          </c:yVal>
        </c:ser>
        <c:ser>
          <c:idx val="1"/>
          <c:order val="0"/>
          <c:tx>
            <c:strRef>
              <c:f>'NM4-1'!$F$1</c:f>
              <c:strCache>
                <c:ptCount val="1"/>
                <c:pt idx="0">
                  <c:v>Sag</c:v>
                </c:pt>
              </c:strCache>
            </c:strRef>
          </c:tx>
          <c:errBars>
            <c:errDir val="y"/>
            <c:errBarType val="both"/>
            <c:errValType val="fixedVal"/>
            <c:val val="3.125E-2"/>
          </c:errBars>
          <c:errBars>
            <c:errDir val="x"/>
            <c:errBarType val="both"/>
            <c:errValType val="fixedVal"/>
            <c:val val="1"/>
          </c:errBars>
          <c:xVal>
            <c:numRef>
              <c:f>'NM4-1'!$E$3:$E$9</c:f>
              <c:numCache>
                <c:formatCode>General</c:formatCode>
                <c:ptCount val="7"/>
                <c:pt idx="0">
                  <c:v>1</c:v>
                </c:pt>
                <c:pt idx="1">
                  <c:v>2</c:v>
                </c:pt>
                <c:pt idx="2">
                  <c:v>3</c:v>
                </c:pt>
                <c:pt idx="3">
                  <c:v>4</c:v>
                </c:pt>
                <c:pt idx="4">
                  <c:v>23</c:v>
                </c:pt>
                <c:pt idx="5">
                  <c:v>31</c:v>
                </c:pt>
                <c:pt idx="6">
                  <c:v>143</c:v>
                </c:pt>
              </c:numCache>
            </c:numRef>
          </c:xVal>
          <c:yVal>
            <c:numRef>
              <c:f>'NM4-1'!$F$3:$F$9</c:f>
              <c:numCache>
                <c:formatCode>General</c:formatCode>
                <c:ptCount val="7"/>
                <c:pt idx="0">
                  <c:v>0.18750000000000014</c:v>
                </c:pt>
                <c:pt idx="1">
                  <c:v>0.43750000000000028</c:v>
                </c:pt>
                <c:pt idx="2">
                  <c:v>0.5625</c:v>
                </c:pt>
                <c:pt idx="3">
                  <c:v>0.65625000000000056</c:v>
                </c:pt>
                <c:pt idx="4">
                  <c:v>0.90625</c:v>
                </c:pt>
                <c:pt idx="5">
                  <c:v>0.96875000000000056</c:v>
                </c:pt>
                <c:pt idx="6">
                  <c:v>1.1875</c:v>
                </c:pt>
              </c:numCache>
            </c:numRef>
          </c:yVal>
        </c:ser>
        <c:axId val="94015488"/>
        <c:axId val="94017408"/>
      </c:scatterChart>
      <c:valAx>
        <c:axId val="94015488"/>
        <c:scaling>
          <c:orientation val="minMax"/>
        </c:scaling>
        <c:axPos val="b"/>
        <c:majorGridlines/>
        <c:title>
          <c:tx>
            <c:rich>
              <a:bodyPr/>
              <a:lstStyle/>
              <a:p>
                <a:pPr>
                  <a:defRPr/>
                </a:pPr>
                <a:r>
                  <a:rPr lang="en-US"/>
                  <a:t>Time</a:t>
                </a:r>
                <a:r>
                  <a:rPr lang="en-US" baseline="0"/>
                  <a:t> (hrs)</a:t>
                </a:r>
                <a:endParaRPr lang="en-US"/>
              </a:p>
            </c:rich>
          </c:tx>
        </c:title>
        <c:numFmt formatCode="General" sourceLinked="1"/>
        <c:majorTickMark val="none"/>
        <c:tickLblPos val="nextTo"/>
        <c:crossAx val="94017408"/>
        <c:crosses val="autoZero"/>
        <c:crossBetween val="midCat"/>
      </c:valAx>
      <c:valAx>
        <c:axId val="94017408"/>
        <c:scaling>
          <c:orientation val="minMax"/>
        </c:scaling>
        <c:axPos val="l"/>
        <c:majorGridlines/>
        <c:title>
          <c:tx>
            <c:rich>
              <a:bodyPr/>
              <a:lstStyle/>
              <a:p>
                <a:pPr>
                  <a:defRPr/>
                </a:pPr>
                <a:r>
                  <a:rPr lang="en-US"/>
                  <a:t>Sag </a:t>
                </a:r>
                <a:r>
                  <a:rPr lang="en-US" baseline="0"/>
                  <a:t>(inches)</a:t>
                </a:r>
                <a:endParaRPr lang="en-US"/>
              </a:p>
            </c:rich>
          </c:tx>
        </c:title>
        <c:numFmt formatCode="General" sourceLinked="1"/>
        <c:majorTickMark val="none"/>
        <c:tickLblPos val="nextTo"/>
        <c:crossAx val="94015488"/>
        <c:crosses val="autoZero"/>
        <c:crossBetween val="midCat"/>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HDPE DR11 14" Modulus of Elasticity</a:t>
            </a:r>
          </a:p>
        </c:rich>
      </c:tx>
    </c:title>
    <c:plotArea>
      <c:layout/>
      <c:scatterChart>
        <c:scatterStyle val="lineMarker"/>
        <c:ser>
          <c:idx val="0"/>
          <c:order val="0"/>
          <c:tx>
            <c:strRef>
              <c:f>'NM4-1'!$H$1</c:f>
              <c:strCache>
                <c:ptCount val="1"/>
                <c:pt idx="0">
                  <c:v>E</c:v>
                </c:pt>
              </c:strCache>
            </c:strRef>
          </c:tx>
          <c:errBars>
            <c:errDir val="y"/>
            <c:errBarType val="both"/>
            <c:errValType val="cust"/>
            <c:plus>
              <c:numRef>
                <c:f>'NM4-1'!$L$3:$L$9</c:f>
                <c:numCache>
                  <c:formatCode>General</c:formatCode>
                  <c:ptCount val="7"/>
                  <c:pt idx="0">
                    <c:v>65323.662773069176</c:v>
                  </c:pt>
                  <c:pt idx="1">
                    <c:v>12460.495128593926</c:v>
                  </c:pt>
                  <c:pt idx="2">
                    <c:v>7754.2891202531009</c:v>
                  </c:pt>
                  <c:pt idx="3">
                    <c:v>5838.6048843341105</c:v>
                  </c:pt>
                  <c:pt idx="4">
                    <c:v>3302.8511206518056</c:v>
                  </c:pt>
                  <c:pt idx="5">
                    <c:v>2950.8125989079322</c:v>
                  </c:pt>
                  <c:pt idx="6">
                    <c:v>2117.8654139579971</c:v>
                  </c:pt>
                </c:numCache>
              </c:numRef>
            </c:plus>
            <c:minus>
              <c:numRef>
                <c:f>'NM4-1'!$L$3:$L$9</c:f>
                <c:numCache>
                  <c:formatCode>General</c:formatCode>
                  <c:ptCount val="7"/>
                  <c:pt idx="0">
                    <c:v>65323.662773069176</c:v>
                  </c:pt>
                  <c:pt idx="1">
                    <c:v>12460.495128593926</c:v>
                  </c:pt>
                  <c:pt idx="2">
                    <c:v>7754.2891202531009</c:v>
                  </c:pt>
                  <c:pt idx="3">
                    <c:v>5838.6048843341105</c:v>
                  </c:pt>
                  <c:pt idx="4">
                    <c:v>3302.8511206518056</c:v>
                  </c:pt>
                  <c:pt idx="5">
                    <c:v>2950.8125989079322</c:v>
                  </c:pt>
                  <c:pt idx="6">
                    <c:v>2117.8654139579971</c:v>
                  </c:pt>
                </c:numCache>
              </c:numRef>
            </c:minus>
          </c:errBars>
          <c:xVal>
            <c:numRef>
              <c:f>'NM4-1'!$E$3:$E$9</c:f>
              <c:numCache>
                <c:formatCode>General</c:formatCode>
                <c:ptCount val="7"/>
                <c:pt idx="0">
                  <c:v>1</c:v>
                </c:pt>
                <c:pt idx="1">
                  <c:v>2</c:v>
                </c:pt>
                <c:pt idx="2">
                  <c:v>3</c:v>
                </c:pt>
                <c:pt idx="3">
                  <c:v>4</c:v>
                </c:pt>
                <c:pt idx="4">
                  <c:v>23</c:v>
                </c:pt>
                <c:pt idx="5">
                  <c:v>31</c:v>
                </c:pt>
                <c:pt idx="6">
                  <c:v>143</c:v>
                </c:pt>
              </c:numCache>
            </c:numRef>
          </c:xVal>
          <c:yVal>
            <c:numRef>
              <c:f>'NM4-1'!$H$3:$H$9</c:f>
              <c:numCache>
                <c:formatCode>0.00E+00</c:formatCode>
                <c:ptCount val="7"/>
                <c:pt idx="0">
                  <c:v>388463.39180151606</c:v>
                </c:pt>
                <c:pt idx="1">
                  <c:v>166484.31077207832</c:v>
                </c:pt>
                <c:pt idx="2">
                  <c:v>129487.79726717195</c:v>
                </c:pt>
                <c:pt idx="3">
                  <c:v>110989.54051471887</c:v>
                </c:pt>
                <c:pt idx="4">
                  <c:v>80371.736234796379</c:v>
                </c:pt>
                <c:pt idx="5">
                  <c:v>75186.462929325615</c:v>
                </c:pt>
                <c:pt idx="6">
                  <c:v>61336.32502129201</c:v>
                </c:pt>
              </c:numCache>
            </c:numRef>
          </c:yVal>
        </c:ser>
        <c:axId val="94078848"/>
        <c:axId val="94085120"/>
      </c:scatterChart>
      <c:valAx>
        <c:axId val="94078848"/>
        <c:scaling>
          <c:orientation val="minMax"/>
        </c:scaling>
        <c:axPos val="b"/>
        <c:majorGridlines/>
        <c:title>
          <c:tx>
            <c:rich>
              <a:bodyPr/>
              <a:lstStyle/>
              <a:p>
                <a:pPr>
                  <a:defRPr/>
                </a:pPr>
                <a:r>
                  <a:rPr lang="en-US"/>
                  <a:t>Time (hrs)</a:t>
                </a:r>
              </a:p>
            </c:rich>
          </c:tx>
        </c:title>
        <c:numFmt formatCode="General" sourceLinked="1"/>
        <c:majorTickMark val="none"/>
        <c:tickLblPos val="nextTo"/>
        <c:crossAx val="94085120"/>
        <c:crosses val="autoZero"/>
        <c:crossBetween val="midCat"/>
      </c:valAx>
      <c:valAx>
        <c:axId val="94085120"/>
        <c:scaling>
          <c:orientation val="minMax"/>
        </c:scaling>
        <c:axPos val="l"/>
        <c:majorGridlines/>
        <c:title>
          <c:tx>
            <c:rich>
              <a:bodyPr/>
              <a:lstStyle/>
              <a:p>
                <a:pPr>
                  <a:defRPr/>
                </a:pPr>
                <a:r>
                  <a:rPr lang="en-US"/>
                  <a:t>Modulsu of Elasticity (psi)</a:t>
                </a:r>
              </a:p>
            </c:rich>
          </c:tx>
        </c:title>
        <c:numFmt formatCode="0.00E+00" sourceLinked="1"/>
        <c:majorTickMark val="none"/>
        <c:tickLblPos val="nextTo"/>
        <c:crossAx val="94078848"/>
        <c:crosses val="autoZero"/>
        <c:crossBetween val="midCat"/>
        <c:majorUnit val="100000"/>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9A0A-7633-427E-9E39-3389599E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geelhoed-admin</dc:creator>
  <cp:keywords/>
  <dc:description/>
  <cp:lastModifiedBy>geelhoed-admin</cp:lastModifiedBy>
  <cp:revision>10</cp:revision>
  <cp:lastPrinted>2011-11-08T18:01:00Z</cp:lastPrinted>
  <dcterms:created xsi:type="dcterms:W3CDTF">2011-12-05T17:43:00Z</dcterms:created>
  <dcterms:modified xsi:type="dcterms:W3CDTF">2011-12-05T19:20:00Z</dcterms:modified>
</cp:coreProperties>
</file>