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6480"/>
        <w:gridCol w:w="2970"/>
      </w:tblGrid>
      <w:tr w:rsidR="00BE0A7D" w:rsidTr="007C6CB5">
        <w:trPr>
          <w:trHeight w:val="1520"/>
        </w:trPr>
        <w:tc>
          <w:tcPr>
            <w:tcW w:w="6480" w:type="dxa"/>
          </w:tcPr>
          <w:p w:rsidR="00BE0A7D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AB49DF" w:rsidP="0037698F">
            <w:pPr>
              <w:tabs>
                <w:tab w:val="left" w:pos="1370"/>
              </w:tabs>
              <w:jc w:val="center"/>
            </w:pPr>
            <w:r>
              <w:t xml:space="preserve">Delivery Ring </w:t>
            </w:r>
            <w:r w:rsidR="00916D02">
              <w:t>Secondary Emission Monitor</w:t>
            </w:r>
            <w:r>
              <w:t xml:space="preserve"> </w:t>
            </w:r>
            <w:r w:rsidR="00BE0A7D">
              <w:t>AIP</w:t>
            </w:r>
          </w:p>
          <w:p w:rsidR="00BE0A7D" w:rsidRPr="00BE0305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BE0A7D" w:rsidP="0037698F">
            <w:pPr>
              <w:jc w:val="center"/>
            </w:pPr>
            <w:r w:rsidRPr="00BE0305">
              <w:rPr>
                <w:b/>
                <w:sz w:val="28"/>
              </w:rPr>
              <w:t xml:space="preserve">   BASIS of ESTIMATE FORM (BoE)</w:t>
            </w:r>
          </w:p>
        </w:tc>
        <w:tc>
          <w:tcPr>
            <w:tcW w:w="2970" w:type="dxa"/>
          </w:tcPr>
          <w:p w:rsidR="00BE0A7D" w:rsidRPr="00C056B6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Document Number: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="0091750A">
              <w:rPr>
                <w:color w:val="548DD4" w:themeColor="text2" w:themeTint="99"/>
                <w:sz w:val="20"/>
              </w:rPr>
              <w:t>Mu2e-doc-2226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BE0A7D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Date of Estimate</w:t>
            </w:r>
            <w:r w:rsidRPr="00BE0A7D">
              <w:rPr>
                <w:b/>
                <w:sz w:val="20"/>
              </w:rPr>
              <w:t xml:space="preserve">:  </w:t>
            </w:r>
            <w:r w:rsidR="00A179A2">
              <w:rPr>
                <w:color w:val="548DD4" w:themeColor="text2" w:themeTint="99"/>
                <w:sz w:val="20"/>
              </w:rPr>
              <w:t>5/4</w:t>
            </w:r>
            <w:r w:rsidRPr="004A7A1C">
              <w:rPr>
                <w:color w:val="548DD4" w:themeColor="text2" w:themeTint="99"/>
                <w:sz w:val="20"/>
              </w:rPr>
              <w:t>/12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9B70A8" w:rsidRDefault="00BE0A7D" w:rsidP="00A619B2">
            <w:r w:rsidRPr="0037698F">
              <w:rPr>
                <w:b/>
                <w:sz w:val="20"/>
              </w:rPr>
              <w:t>Prepared by:</w:t>
            </w:r>
            <w:r>
              <w:rPr>
                <w:b/>
                <w:sz w:val="20"/>
              </w:rPr>
              <w:t xml:space="preserve"> </w:t>
            </w:r>
            <w:r w:rsidR="007D6764">
              <w:rPr>
                <w:color w:val="548DD4" w:themeColor="text2" w:themeTint="99"/>
                <w:sz w:val="20"/>
              </w:rPr>
              <w:t xml:space="preserve"> Brian </w:t>
            </w:r>
            <w:proofErr w:type="spellStart"/>
            <w:r w:rsidR="007D6764">
              <w:rPr>
                <w:color w:val="548DD4" w:themeColor="text2" w:themeTint="99"/>
                <w:sz w:val="20"/>
              </w:rPr>
              <w:t>Drendel</w:t>
            </w:r>
            <w:proofErr w:type="spellEnd"/>
          </w:p>
        </w:tc>
      </w:tr>
    </w:tbl>
    <w:p w:rsidR="0037698F" w:rsidRDefault="0037698F"/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37698F">
        <w:tc>
          <w:tcPr>
            <w:tcW w:w="9450" w:type="dxa"/>
          </w:tcPr>
          <w:p w:rsidR="0037698F" w:rsidRDefault="009D021C">
            <w:r>
              <w:t>WBS Category Number</w:t>
            </w:r>
            <w:r w:rsidR="0037698F">
              <w:t>:</w:t>
            </w:r>
            <w:r w:rsidR="009B70A8">
              <w:t xml:space="preserve">  </w:t>
            </w:r>
            <w:r w:rsidR="004E616D" w:rsidRPr="004A7A1C">
              <w:rPr>
                <w:color w:val="548DD4" w:themeColor="text2" w:themeTint="99"/>
              </w:rPr>
              <w:t>MuAIP</w:t>
            </w:r>
            <w:r w:rsidR="007D6764">
              <w:rPr>
                <w:color w:val="548DD4" w:themeColor="text2" w:themeTint="99"/>
              </w:rPr>
              <w:t>.</w:t>
            </w:r>
            <w:r w:rsidR="004550C2">
              <w:rPr>
                <w:color w:val="548DD4" w:themeColor="text2" w:themeTint="99"/>
              </w:rPr>
              <w:t>03.05.03</w:t>
            </w:r>
          </w:p>
          <w:p w:rsidR="0037698F" w:rsidRDefault="0037698F">
            <w:r>
              <w:t>WBS Category Name:</w:t>
            </w:r>
            <w:r w:rsidR="009B70A8">
              <w:t xml:space="preserve">  </w:t>
            </w:r>
            <w:r w:rsidR="00AB49DF">
              <w:rPr>
                <w:color w:val="548DD4" w:themeColor="text2" w:themeTint="99"/>
              </w:rPr>
              <w:t xml:space="preserve">Ring </w:t>
            </w:r>
            <w:r w:rsidR="001B73DB">
              <w:rPr>
                <w:color w:val="548DD4" w:themeColor="text2" w:themeTint="99"/>
              </w:rPr>
              <w:t>Secondary Emission Monitor</w:t>
            </w:r>
          </w:p>
          <w:p w:rsidR="0037698F" w:rsidRDefault="0037698F" w:rsidP="00D36AC2">
            <w:r>
              <w:t>Control Account</w:t>
            </w:r>
            <w:r w:rsidR="00575E36">
              <w:t xml:space="preserve"> (number and name)</w:t>
            </w:r>
            <w:r>
              <w:t>:</w:t>
            </w:r>
            <w:r w:rsidR="009B70A8">
              <w:t xml:space="preserve">  </w:t>
            </w:r>
          </w:p>
        </w:tc>
      </w:tr>
      <w:tr w:rsidR="0037698F">
        <w:tc>
          <w:tcPr>
            <w:tcW w:w="9450" w:type="dxa"/>
          </w:tcPr>
          <w:p w:rsidR="0037698F" w:rsidRDefault="0037698F">
            <w:r>
              <w:t>Costing Method:</w:t>
            </w:r>
          </w:p>
          <w:p w:rsidR="0037698F" w:rsidRDefault="0037698F">
            <w:r>
              <w:t>___ Existing P.O.                                              ___ Prior Experience (source: )</w:t>
            </w:r>
          </w:p>
          <w:p w:rsidR="0037698F" w:rsidRDefault="0037698F">
            <w:r>
              <w:t>___ Catalog Listing / Vendor Quote                 ___ Expert Opinion</w:t>
            </w:r>
          </w:p>
          <w:p w:rsidR="0037698F" w:rsidRDefault="009B70A8">
            <w:r>
              <w:t>_</w:t>
            </w:r>
            <w:r w:rsidR="00D36AC2" w:rsidRPr="00D36AC2">
              <w:rPr>
                <w:color w:val="000000" w:themeColor="text1"/>
              </w:rPr>
              <w:t>_</w:t>
            </w:r>
            <w:r w:rsidR="0037698F">
              <w:t>_ Budgetary Estimate                                    ___ Pre-conceptual Design</w:t>
            </w:r>
          </w:p>
          <w:p w:rsidR="0037698F" w:rsidRDefault="0037698F">
            <w:r>
              <w:t>_</w:t>
            </w:r>
            <w:r w:rsidR="003F50C1" w:rsidRPr="004A7A1C">
              <w:rPr>
                <w:color w:val="548DD4" w:themeColor="text2" w:themeTint="99"/>
                <w:u w:val="single"/>
              </w:rPr>
              <w:t>X</w:t>
            </w:r>
            <w:r>
              <w:t>_ Engineering Experience                             ___ Other (description: )</w:t>
            </w:r>
          </w:p>
          <w:p w:rsidR="0037698F" w:rsidRDefault="0037698F"/>
        </w:tc>
      </w:tr>
      <w:tr w:rsidR="0037698F">
        <w:tc>
          <w:tcPr>
            <w:tcW w:w="9450" w:type="dxa"/>
          </w:tcPr>
          <w:p w:rsidR="009B70A8" w:rsidRPr="00BE0A7D" w:rsidRDefault="00B37BCA" w:rsidP="00A619B2">
            <w:pPr>
              <w:spacing w:line="276" w:lineRule="auto"/>
              <w:rPr>
                <w:color w:val="0070C0"/>
              </w:rPr>
            </w:pPr>
            <w:r>
              <w:t xml:space="preserve">External </w:t>
            </w:r>
            <w:r w:rsidR="0037698F">
              <w:t>Supporting Documents</w:t>
            </w:r>
            <w:r w:rsidR="0037698F" w:rsidRPr="00C056B6">
              <w:t>:</w:t>
            </w:r>
            <w:r w:rsidR="009B70A8" w:rsidRPr="00C056B6">
              <w:t xml:space="preserve">  </w:t>
            </w:r>
            <w:r w:rsidR="004410C6" w:rsidRPr="004410C6">
              <w:rPr>
                <w:color w:val="548DD4" w:themeColor="text2" w:themeTint="99"/>
              </w:rPr>
              <w:t>1.</w:t>
            </w:r>
            <w:r w:rsidR="004410C6" w:rsidRPr="004410C6">
              <w:rPr>
                <w:color w:val="548DD4" w:themeColor="text2" w:themeTint="99"/>
              </w:rPr>
              <w:tab/>
              <w:t xml:space="preserve">B. </w:t>
            </w:r>
            <w:proofErr w:type="spellStart"/>
            <w:r w:rsidR="004410C6" w:rsidRPr="004410C6">
              <w:rPr>
                <w:color w:val="548DD4" w:themeColor="text2" w:themeTint="99"/>
              </w:rPr>
              <w:t>Drendel</w:t>
            </w:r>
            <w:proofErr w:type="spellEnd"/>
            <w:r w:rsidR="004410C6" w:rsidRPr="004410C6">
              <w:rPr>
                <w:color w:val="548DD4" w:themeColor="text2" w:themeTint="99"/>
              </w:rPr>
              <w:t xml:space="preserve">, G. </w:t>
            </w:r>
            <w:proofErr w:type="spellStart"/>
            <w:r w:rsidR="004410C6" w:rsidRPr="004410C6">
              <w:rPr>
                <w:color w:val="548DD4" w:themeColor="text2" w:themeTint="99"/>
              </w:rPr>
              <w:t>Tassotto</w:t>
            </w:r>
            <w:proofErr w:type="spellEnd"/>
            <w:r w:rsidR="004410C6" w:rsidRPr="004410C6">
              <w:rPr>
                <w:color w:val="548DD4" w:themeColor="text2" w:themeTint="99"/>
              </w:rPr>
              <w:t xml:space="preserve">, “Beam Line and Storage Ring SEM and </w:t>
            </w:r>
            <w:proofErr w:type="spellStart"/>
            <w:r w:rsidR="004410C6" w:rsidRPr="004410C6">
              <w:rPr>
                <w:color w:val="548DD4" w:themeColor="text2" w:themeTint="99"/>
              </w:rPr>
              <w:t>Multiwires</w:t>
            </w:r>
            <w:proofErr w:type="spellEnd"/>
            <w:r w:rsidR="004410C6" w:rsidRPr="004410C6">
              <w:rPr>
                <w:color w:val="548DD4" w:themeColor="text2" w:themeTint="99"/>
              </w:rPr>
              <w:t xml:space="preserve"> for Mu2e,</w:t>
            </w:r>
            <w:proofErr w:type="gramStart"/>
            <w:r w:rsidR="004410C6">
              <w:rPr>
                <w:color w:val="548DD4" w:themeColor="text2" w:themeTint="99"/>
              </w:rPr>
              <w:t>”  Mu2e</w:t>
            </w:r>
            <w:proofErr w:type="gramEnd"/>
            <w:r w:rsidR="004410C6">
              <w:rPr>
                <w:color w:val="548DD4" w:themeColor="text2" w:themeTint="99"/>
              </w:rPr>
              <w:t xml:space="preserve"> Documents Database #1608</w:t>
            </w:r>
            <w:r w:rsidR="004410C6" w:rsidRPr="004410C6">
              <w:rPr>
                <w:color w:val="548DD4" w:themeColor="text2" w:themeTint="99"/>
              </w:rPr>
              <w:t>, February 2012.</w:t>
            </w:r>
          </w:p>
        </w:tc>
      </w:tr>
    </w:tbl>
    <w:p w:rsidR="0037698F" w:rsidRDefault="0037698F"/>
    <w:p w:rsidR="00DE2381" w:rsidRDefault="00DE2381" w:rsidP="00CA0229"/>
    <w:p w:rsidR="00E667D1" w:rsidRPr="005D120C" w:rsidRDefault="00C2671B" w:rsidP="00E667D1">
      <w:r>
        <w:t>Update the existing</w:t>
      </w:r>
      <w:r w:rsidR="00BE0A7D">
        <w:t xml:space="preserve"> </w:t>
      </w:r>
      <w:r w:rsidR="00397A68">
        <w:t xml:space="preserve">Delivery Ring </w:t>
      </w:r>
      <w:r w:rsidR="00EB1C1E">
        <w:t>Secondary Emission Monitors</w:t>
      </w:r>
      <w:r w:rsidR="00552811">
        <w:t xml:space="preserve"> </w:t>
      </w:r>
      <w:r>
        <w:t>to</w:t>
      </w:r>
      <w:r w:rsidR="00E667D1">
        <w:t xml:space="preserve"> enable beam </w:t>
      </w:r>
      <w:r w:rsidR="00EB1C1E">
        <w:t xml:space="preserve">profile measurements </w:t>
      </w:r>
      <w:r w:rsidR="00E667D1">
        <w:t>for</w:t>
      </w:r>
      <w:r>
        <w:t xml:space="preserve"> both g-2 and Mu2e operations</w:t>
      </w:r>
      <w:r w:rsidR="00BE0A7D">
        <w:t>.</w:t>
      </w:r>
      <w:r w:rsidR="00552811">
        <w:t xml:space="preserve"> </w:t>
      </w:r>
      <w:r w:rsidR="00BE0A7D">
        <w:t xml:space="preserve"> </w:t>
      </w:r>
      <w:r w:rsidR="00E667D1" w:rsidRPr="005D120C">
        <w:t>Modify existing electronics, hardware and cabling to meet updated performance requirements.</w:t>
      </w:r>
    </w:p>
    <w:p w:rsidR="00DE2381" w:rsidRPr="005D120C" w:rsidRDefault="00DE2381" w:rsidP="00CA0229"/>
    <w:p w:rsidR="005D120C" w:rsidRDefault="005D120C">
      <w:pPr>
        <w:rPr>
          <w:color w:val="FF0000"/>
        </w:rPr>
      </w:pPr>
      <w:r>
        <w:rPr>
          <w:color w:val="FF0000"/>
        </w:rPr>
        <w:br w:type="page"/>
      </w:r>
    </w:p>
    <w:p w:rsidR="00253C6F" w:rsidRPr="007C6CB5" w:rsidRDefault="00253C6F" w:rsidP="00253C6F">
      <w:pPr>
        <w:ind w:right="-360"/>
        <w:rPr>
          <w:b/>
        </w:rPr>
      </w:pPr>
      <w:r>
        <w:rPr>
          <w:b/>
        </w:rPr>
        <w:lastRenderedPageBreak/>
        <w:t xml:space="preserve">Preliminary Design: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7C6CB5" w:rsidRPr="007C6CB5" w:rsidTr="00253C6F">
        <w:tc>
          <w:tcPr>
            <w:tcW w:w="9450" w:type="dxa"/>
          </w:tcPr>
          <w:p w:rsidR="00253C6F" w:rsidRPr="007C6CB5" w:rsidRDefault="00253C6F" w:rsidP="00BE0A7D">
            <w:r w:rsidRPr="007C6CB5">
              <w:t xml:space="preserve">WBS Category Name:  Preliminary Design of </w:t>
            </w:r>
            <w:r w:rsidR="00BE0A7D" w:rsidRPr="007C6CB5">
              <w:t>infrastructure</w:t>
            </w:r>
            <w:r w:rsidR="00702205">
              <w:t xml:space="preserve"> improvements to the beam lines</w:t>
            </w:r>
          </w:p>
        </w:tc>
      </w:tr>
      <w:tr w:rsidR="007C6CB5" w:rsidRPr="007C6CB5" w:rsidTr="00253C6F">
        <w:tc>
          <w:tcPr>
            <w:tcW w:w="9450" w:type="dxa"/>
          </w:tcPr>
          <w:p w:rsidR="00253C6F" w:rsidRPr="007C6CB5" w:rsidRDefault="00253C6F" w:rsidP="00253C6F">
            <w:r w:rsidRPr="007C6CB5">
              <w:t>Costing Method:</w:t>
            </w:r>
          </w:p>
          <w:p w:rsidR="00253C6F" w:rsidRPr="007C6CB5" w:rsidRDefault="00253C6F" w:rsidP="00253C6F">
            <w:r w:rsidRPr="007C6CB5">
              <w:t>___ Existing P.O.                                              ___ Prior Experience (source: )</w:t>
            </w:r>
          </w:p>
          <w:p w:rsidR="00253C6F" w:rsidRPr="007C6CB5" w:rsidRDefault="00253C6F" w:rsidP="00253C6F">
            <w:r w:rsidRPr="007C6CB5">
              <w:t>___ Catalog Listing / Vendor Quote                 ___ Expert Opinion</w:t>
            </w:r>
          </w:p>
          <w:p w:rsidR="00253C6F" w:rsidRPr="007C6CB5" w:rsidRDefault="00253C6F" w:rsidP="00253C6F">
            <w:r w:rsidRPr="007C6CB5">
              <w:t>___ Budgetary Estimate                                    ___ Pre-conceptual Design</w:t>
            </w:r>
          </w:p>
          <w:p w:rsidR="00253C6F" w:rsidRPr="007C6CB5" w:rsidRDefault="00253C6F" w:rsidP="00253C6F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>_ Engineering Experience                             ___ Other (description: )</w:t>
            </w:r>
          </w:p>
          <w:p w:rsidR="00253C6F" w:rsidRPr="007C6CB5" w:rsidRDefault="00253C6F" w:rsidP="00253C6F"/>
        </w:tc>
      </w:tr>
    </w:tbl>
    <w:p w:rsidR="004949CA" w:rsidRDefault="004949CA" w:rsidP="00253C6F">
      <w:pPr>
        <w:ind w:right="-360"/>
        <w:rPr>
          <w:b/>
          <w:sz w:val="28"/>
          <w:u w:val="single"/>
        </w:rPr>
      </w:pPr>
    </w:p>
    <w:p w:rsidR="005D120C" w:rsidRDefault="005D120C" w:rsidP="00253C6F">
      <w:pPr>
        <w:ind w:right="-360"/>
      </w:pPr>
    </w:p>
    <w:p w:rsidR="00253C6F" w:rsidRPr="005D120C" w:rsidRDefault="00BE0A7D" w:rsidP="00253C6F">
      <w:pPr>
        <w:ind w:right="-360"/>
      </w:pPr>
      <w:r>
        <w:t>The p</w:t>
      </w:r>
      <w:r w:rsidR="004949CA" w:rsidRPr="005D120C">
        <w:t xml:space="preserve">reliminary design will </w:t>
      </w:r>
      <w:r w:rsidR="009902B3" w:rsidRPr="005D120C">
        <w:t xml:space="preserve">continue to develop requirements and specifications for </w:t>
      </w:r>
      <w:r>
        <w:t xml:space="preserve">improvements and upgrades to </w:t>
      </w:r>
      <w:r w:rsidR="009902B3" w:rsidRPr="005D120C">
        <w:t xml:space="preserve">components/hardware and provide data for </w:t>
      </w:r>
      <w:r>
        <w:t>completing the</w:t>
      </w:r>
      <w:r w:rsidR="009902B3" w:rsidRPr="005D120C">
        <w:t xml:space="preserve"> design effort</w:t>
      </w:r>
      <w:r>
        <w:t xml:space="preserve">. The information will also </w:t>
      </w:r>
      <w:r w:rsidR="009902B3" w:rsidRPr="005D120C">
        <w:t xml:space="preserve">establish data for </w:t>
      </w:r>
      <w:r>
        <w:t xml:space="preserve">use by </w:t>
      </w:r>
      <w:r w:rsidR="009902B3" w:rsidRPr="005D120C">
        <w:t>project management to determine</w:t>
      </w:r>
      <w:r>
        <w:t xml:space="preserve"> a</w:t>
      </w:r>
      <w:r w:rsidR="009902B3" w:rsidRPr="005D120C">
        <w:t xml:space="preserve"> high con</w:t>
      </w:r>
      <w:r>
        <w:t>fidence level</w:t>
      </w:r>
      <w:r w:rsidR="009902B3" w:rsidRPr="005D120C">
        <w:t xml:space="preserve"> in</w:t>
      </w:r>
      <w:r>
        <w:t xml:space="preserve"> the</w:t>
      </w:r>
      <w:r w:rsidR="009902B3" w:rsidRPr="005D120C">
        <w:t xml:space="preserve"> </w:t>
      </w:r>
      <w:r w:rsidR="00686C81" w:rsidRPr="005D120C">
        <w:t>specifications</w:t>
      </w:r>
      <w:r w:rsidR="004949CA" w:rsidRPr="005D120C">
        <w:t xml:space="preserve">.  Effort will focus on </w:t>
      </w:r>
      <w:r w:rsidR="00686C81" w:rsidRPr="005D120C">
        <w:t xml:space="preserve">providing </w:t>
      </w:r>
      <w:r>
        <w:t>documentation</w:t>
      </w:r>
      <w:r w:rsidR="00686C81" w:rsidRPr="005D120C">
        <w:t xml:space="preserve"> to </w:t>
      </w:r>
      <w:r w:rsidR="009902B3" w:rsidRPr="005D120C">
        <w:t>determine if</w:t>
      </w:r>
      <w:r>
        <w:t xml:space="preserve"> the</w:t>
      </w:r>
      <w:r w:rsidR="009902B3" w:rsidRPr="005D120C">
        <w:t xml:space="preserve"> proposed design </w:t>
      </w:r>
      <w:r w:rsidR="00CB4BA9" w:rsidRPr="005D120C">
        <w:t>meets</w:t>
      </w:r>
      <w:r w:rsidR="004949CA" w:rsidRPr="005D120C">
        <w:t xml:space="preserve"> project requirements.  </w:t>
      </w:r>
      <w:r w:rsidR="00253C6F" w:rsidRPr="005D120C">
        <w:t xml:space="preserve">  </w:t>
      </w:r>
    </w:p>
    <w:p w:rsidR="00653430" w:rsidRDefault="00653430" w:rsidP="00253C6F">
      <w:pPr>
        <w:ind w:right="-360"/>
      </w:pPr>
    </w:p>
    <w:p w:rsidR="00B37BCA" w:rsidRDefault="00B37BCA" w:rsidP="00253C6F">
      <w:pPr>
        <w:ind w:right="-360"/>
      </w:pPr>
    </w:p>
    <w:p w:rsidR="00253C6F" w:rsidRPr="00253C6F" w:rsidRDefault="00BE0A7D" w:rsidP="00762009">
      <w:pPr>
        <w:ind w:left="-450" w:right="-360"/>
      </w:pPr>
      <w:r>
        <w:rPr>
          <w:rFonts w:ascii="Times New Roman Bold" w:hAnsi="Times New Roman Bold"/>
          <w:b/>
        </w:rPr>
        <w:t xml:space="preserve">Preliminary Design Labor: </w:t>
      </w:r>
      <w:r w:rsidR="004B7F8B">
        <w:t xml:space="preserve">  </w:t>
      </w:r>
      <w:r w:rsidR="00762009">
        <w:t xml:space="preserve">Costing was determined via consultation Accelerator Division </w:t>
      </w:r>
      <w:r w:rsidR="00C2671B">
        <w:t>Instrumentation</w:t>
      </w:r>
      <w:r w:rsidR="00762009">
        <w:t xml:space="preserve"> Engineers and is detailed in the supporting documentation</w:t>
      </w:r>
      <w:r w:rsidR="00762009" w:rsidRPr="00762009">
        <w:rPr>
          <w:vertAlign w:val="superscript"/>
        </w:rPr>
        <w:t>1</w:t>
      </w:r>
      <w:r w:rsidR="00762009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7938A1" w:rsidTr="00702205">
        <w:trPr>
          <w:trHeight w:val="675"/>
        </w:trPr>
        <w:tc>
          <w:tcPr>
            <w:tcW w:w="20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7938A1" w:rsidRPr="007C6CB5" w:rsidTr="00702205">
        <w:trPr>
          <w:trHeight w:val="494"/>
        </w:trPr>
        <w:tc>
          <w:tcPr>
            <w:tcW w:w="2070" w:type="dxa"/>
          </w:tcPr>
          <w:p w:rsidR="007938A1" w:rsidRPr="004A7A1C" w:rsidRDefault="004E616D" w:rsidP="00653430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 w:rsidR="00BE7025">
              <w:rPr>
                <w:color w:val="548DD4" w:themeColor="text2" w:themeTint="99"/>
                <w:sz w:val="20"/>
                <w:szCs w:val="20"/>
              </w:rPr>
              <w:t>.</w:t>
            </w:r>
            <w:r w:rsidR="004550C2">
              <w:rPr>
                <w:color w:val="548DD4" w:themeColor="text2" w:themeTint="99"/>
                <w:sz w:val="20"/>
                <w:szCs w:val="20"/>
              </w:rPr>
              <w:t>03.05.03</w:t>
            </w:r>
            <w:r w:rsidR="00BA6144"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080" w:type="dxa"/>
          </w:tcPr>
          <w:p w:rsidR="007938A1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970" w:type="dxa"/>
          </w:tcPr>
          <w:p w:rsidR="007938A1" w:rsidRPr="004A7A1C" w:rsidRDefault="007938A1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7938A1" w:rsidRPr="004A7A1C" w:rsidRDefault="00A179A2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7938A1" w:rsidRPr="004A7A1C" w:rsidRDefault="00675A7E" w:rsidP="0065343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7938A1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938A1" w:rsidRPr="004A7A1C" w:rsidRDefault="007938A1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A179A2"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</w:tbl>
    <w:p w:rsidR="00253C6F" w:rsidRDefault="00253C6F" w:rsidP="00253C6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FA79BC" w:rsidRPr="00150C2A" w:rsidRDefault="00FA79BC" w:rsidP="00150C2A">
      <w:pPr>
        <w:ind w:left="-360"/>
      </w:pPr>
      <w:r>
        <w:br w:type="page"/>
      </w:r>
      <w:r>
        <w:rPr>
          <w:b/>
        </w:rPr>
        <w:lastRenderedPageBreak/>
        <w:t>Final Design</w:t>
      </w:r>
      <w:r w:rsidR="00150C2A">
        <w:rPr>
          <w:b/>
        </w:rPr>
        <w:t xml:space="preserve"> Labor</w:t>
      </w:r>
      <w:r w:rsidRPr="00702205">
        <w:rPr>
          <w:b/>
        </w:rPr>
        <w:t xml:space="preserve">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>WBS Category Name</w:t>
            </w:r>
            <w:r w:rsidRPr="00702205">
              <w:t xml:space="preserve">:  Final Design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FA79BC" w:rsidRDefault="00702205" w:rsidP="00FA79BC">
      <w:pPr>
        <w:ind w:right="-360"/>
      </w:pPr>
      <w:r>
        <w:t>The f</w:t>
      </w:r>
      <w:r w:rsidR="00CB4BA9" w:rsidRPr="005D120C">
        <w:t xml:space="preserve">inal design will provide the documents necessary to </w:t>
      </w:r>
      <w:r w:rsidR="00552811">
        <w:t>repurpose and upgrade required</w:t>
      </w:r>
      <w:r w:rsidR="00CB4BA9" w:rsidRPr="005D120C">
        <w:t xml:space="preserve"> components/hardware.  Effort will focus on finalization of </w:t>
      </w:r>
      <w:r w:rsidR="00552811">
        <w:t>documentation.</w:t>
      </w:r>
    </w:p>
    <w:p w:rsidR="00702205" w:rsidRDefault="00702205" w:rsidP="00FA79BC">
      <w:pPr>
        <w:ind w:right="-360"/>
      </w:pPr>
    </w:p>
    <w:p w:rsidR="00FA79BC" w:rsidRPr="00253C6F" w:rsidRDefault="00FA79BC" w:rsidP="00FA79BC">
      <w:pPr>
        <w:ind w:left="-450" w:right="-360"/>
      </w:pPr>
      <w:r>
        <w:rPr>
          <w:rFonts w:ascii="Times New Roman Bold" w:hAnsi="Times New Roman Bold"/>
          <w:b/>
        </w:rPr>
        <w:t xml:space="preserve">Final Design Labor: 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4550C2">
              <w:rPr>
                <w:color w:val="548DD4" w:themeColor="text2" w:themeTint="99"/>
                <w:sz w:val="20"/>
                <w:szCs w:val="20"/>
              </w:rPr>
              <w:t>03.05.03</w:t>
            </w:r>
            <w:r>
              <w:rPr>
                <w:color w:val="548DD4" w:themeColor="text2" w:themeTint="99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A179A2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A179A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A179A2"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</w:tbl>
    <w:p w:rsidR="00FA79BC" w:rsidRDefault="00FA79BC" w:rsidP="00FA79BC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02205" w:rsidRPr="00702205" w:rsidRDefault="00FA79BC" w:rsidP="00150C2A">
      <w:pPr>
        <w:ind w:left="-360" w:right="-360"/>
        <w:rPr>
          <w:b/>
        </w:rPr>
      </w:pPr>
      <w:r>
        <w:br w:type="page"/>
      </w:r>
      <w:r>
        <w:rPr>
          <w:b/>
        </w:rPr>
        <w:lastRenderedPageBreak/>
        <w:t xml:space="preserve">Implementation: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 xml:space="preserve">WBS Category Name:  </w:t>
            </w:r>
            <w:r w:rsidRPr="00702205">
              <w:t xml:space="preserve">Implementation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CB4BA9" w:rsidRPr="005D120C" w:rsidRDefault="00CB4BA9" w:rsidP="00FA79BC">
      <w:pPr>
        <w:ind w:right="-360"/>
      </w:pPr>
      <w:r w:rsidRPr="005D120C">
        <w:t xml:space="preserve">Implementation will include the </w:t>
      </w:r>
      <w:r w:rsidR="00552811">
        <w:t xml:space="preserve">installation </w:t>
      </w:r>
      <w:r w:rsidRPr="005D120C">
        <w:t>of components and hardware necessary to support a fully functioning syste</w:t>
      </w:r>
      <w:r w:rsidR="00B22E5E" w:rsidRPr="005D120C">
        <w:t xml:space="preserve">m.  Effort will involve </w:t>
      </w:r>
      <w:r w:rsidR="00552811">
        <w:t xml:space="preserve">repurpose and refurbishing </w:t>
      </w:r>
      <w:r w:rsidR="00B22E5E" w:rsidRPr="005D120C">
        <w:t>of components to meet project requirements.  Included will be the installation and testing of items to ensure functionality.</w:t>
      </w:r>
    </w:p>
    <w:p w:rsidR="00653430" w:rsidRDefault="00653430" w:rsidP="00FA79BC">
      <w:pPr>
        <w:ind w:right="-360"/>
      </w:pPr>
    </w:p>
    <w:p w:rsidR="00702205" w:rsidRDefault="00702205" w:rsidP="00FA79BC">
      <w:pPr>
        <w:ind w:right="-360"/>
      </w:pPr>
    </w:p>
    <w:p w:rsidR="00C4063E" w:rsidRPr="00253C6F" w:rsidRDefault="00702205" w:rsidP="00C4063E">
      <w:pPr>
        <w:ind w:left="-450" w:right="-360"/>
      </w:pPr>
      <w:r>
        <w:rPr>
          <w:rFonts w:ascii="Times New Roman Bold" w:hAnsi="Times New Roman Bold"/>
          <w:b/>
        </w:rPr>
        <w:t xml:space="preserve">Implementation M&amp;S and Labor: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  <w:r w:rsidR="00C4063E">
        <w:t xml:space="preserve">  M&amp;S contingencies were determined by M&amp;S contingency rule #5. </w:t>
      </w:r>
    </w:p>
    <w:p w:rsidR="00FA79BC" w:rsidRPr="00253C6F" w:rsidRDefault="00FA79BC" w:rsidP="00FA79BC">
      <w:pPr>
        <w:ind w:left="-450" w:right="-360"/>
      </w:pP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A6144" w:rsidRPr="007C6CB5" w:rsidTr="007D6764">
        <w:trPr>
          <w:trHeight w:val="494"/>
        </w:trPr>
        <w:tc>
          <w:tcPr>
            <w:tcW w:w="2070" w:type="dxa"/>
          </w:tcPr>
          <w:p w:rsidR="00BA6144" w:rsidRPr="004A7A1C" w:rsidRDefault="00BA6144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4550C2">
              <w:rPr>
                <w:color w:val="548DD4" w:themeColor="text2" w:themeTint="99"/>
                <w:sz w:val="20"/>
                <w:szCs w:val="20"/>
              </w:rPr>
              <w:t>03.05.03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A6144" w:rsidRDefault="00BA6144" w:rsidP="00EB1C1E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Refurbish </w:t>
            </w:r>
            <w:r w:rsidR="00EB1C1E">
              <w:rPr>
                <w:color w:val="548DD4" w:themeColor="text2" w:themeTint="99"/>
                <w:sz w:val="20"/>
                <w:szCs w:val="20"/>
              </w:rPr>
              <w:t xml:space="preserve">motor assembly feed can and </w:t>
            </w:r>
            <w:r>
              <w:rPr>
                <w:color w:val="548DD4" w:themeColor="text2" w:themeTint="99"/>
                <w:sz w:val="20"/>
                <w:szCs w:val="20"/>
              </w:rPr>
              <w:t>electronics</w:t>
            </w:r>
          </w:p>
        </w:tc>
        <w:tc>
          <w:tcPr>
            <w:tcW w:w="2970" w:type="dxa"/>
          </w:tcPr>
          <w:p w:rsidR="00BA6144" w:rsidRPr="004A7A1C" w:rsidRDefault="00BA6144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F77D15">
              <w:rPr>
                <w:color w:val="548DD4" w:themeColor="text2" w:themeTint="99"/>
                <w:sz w:val="20"/>
                <w:szCs w:val="20"/>
              </w:rPr>
              <w:t>FN.M&amp;S.STND</w:t>
            </w:r>
          </w:p>
        </w:tc>
        <w:tc>
          <w:tcPr>
            <w:tcW w:w="990" w:type="dxa"/>
          </w:tcPr>
          <w:p w:rsidR="00BA6144" w:rsidRDefault="00C4063E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</w:t>
            </w:r>
            <w:r w:rsidR="00916D02">
              <w:rPr>
                <w:color w:val="548DD4" w:themeColor="text2" w:themeTint="99"/>
                <w:sz w:val="20"/>
                <w:szCs w:val="20"/>
              </w:rPr>
              <w:t>8</w:t>
            </w:r>
            <w:r>
              <w:rPr>
                <w:color w:val="548DD4" w:themeColor="text2" w:themeTint="99"/>
                <w:sz w:val="20"/>
                <w:szCs w:val="20"/>
              </w:rPr>
              <w:t>K</w:t>
            </w:r>
          </w:p>
        </w:tc>
        <w:tc>
          <w:tcPr>
            <w:tcW w:w="810" w:type="dxa"/>
          </w:tcPr>
          <w:p w:rsidR="00BA6144" w:rsidRDefault="0016711E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4</w:t>
            </w:r>
            <w:r w:rsidR="00C4063E">
              <w:rPr>
                <w:color w:val="548DD4" w:themeColor="text2" w:themeTint="99"/>
                <w:sz w:val="20"/>
                <w:szCs w:val="20"/>
              </w:rPr>
              <w:t>0%</w:t>
            </w:r>
          </w:p>
        </w:tc>
        <w:tc>
          <w:tcPr>
            <w:tcW w:w="1530" w:type="dxa"/>
          </w:tcPr>
          <w:p w:rsidR="00BA6144" w:rsidRPr="004A7A1C" w:rsidRDefault="00E37B6F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$25K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4550C2">
              <w:rPr>
                <w:color w:val="548DD4" w:themeColor="text2" w:themeTint="99"/>
                <w:sz w:val="20"/>
                <w:szCs w:val="20"/>
              </w:rPr>
              <w:t>03.05.03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Engineering </w:t>
            </w:r>
            <w:r w:rsidR="0016711E">
              <w:rPr>
                <w:color w:val="548DD4" w:themeColor="text2" w:themeTint="99"/>
                <w:sz w:val="20"/>
                <w:szCs w:val="20"/>
              </w:rPr>
              <w:t xml:space="preserve">design and </w:t>
            </w:r>
            <w:r>
              <w:rPr>
                <w:color w:val="548DD4" w:themeColor="text2" w:themeTint="99"/>
                <w:sz w:val="20"/>
                <w:szCs w:val="20"/>
              </w:rPr>
              <w:t>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857286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A179A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857286">
              <w:rPr>
                <w:color w:val="548DD4" w:themeColor="text2" w:themeTint="99"/>
                <w:sz w:val="20"/>
                <w:szCs w:val="20"/>
              </w:rPr>
              <w:t>42</w:t>
            </w:r>
            <w:bookmarkStart w:id="0" w:name="_GoBack"/>
            <w:bookmarkEnd w:id="0"/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4550C2">
              <w:rPr>
                <w:color w:val="548DD4" w:themeColor="text2" w:themeTint="99"/>
                <w:sz w:val="20"/>
                <w:szCs w:val="20"/>
              </w:rPr>
              <w:t>03.05.03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E37B6F" w:rsidP="00E37B6F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E37B6F">
              <w:rPr>
                <w:color w:val="548DD4" w:themeColor="text2" w:themeTint="99"/>
                <w:sz w:val="20"/>
                <w:szCs w:val="20"/>
              </w:rPr>
              <w:t xml:space="preserve">FNAD.ELTN.DESIGN.EN 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(Instrumentation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 xml:space="preserve"> Engineer)</w:t>
            </w:r>
          </w:p>
        </w:tc>
        <w:tc>
          <w:tcPr>
            <w:tcW w:w="990" w:type="dxa"/>
          </w:tcPr>
          <w:p w:rsidR="00BE7025" w:rsidRPr="004A7A1C" w:rsidRDefault="00E37B6F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E37B6F">
              <w:rPr>
                <w:color w:val="548DD4" w:themeColor="text2" w:themeTint="99"/>
                <w:sz w:val="20"/>
                <w:szCs w:val="20"/>
              </w:rPr>
              <w:t>4</w:t>
            </w:r>
          </w:p>
        </w:tc>
      </w:tr>
      <w:tr w:rsidR="00E37B6F" w:rsidRPr="007C6CB5" w:rsidTr="007D6764">
        <w:trPr>
          <w:trHeight w:val="510"/>
        </w:trPr>
        <w:tc>
          <w:tcPr>
            <w:tcW w:w="2070" w:type="dxa"/>
          </w:tcPr>
          <w:p w:rsidR="00E37B6F" w:rsidRPr="004A7A1C" w:rsidRDefault="00E37B6F" w:rsidP="00E37B6F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.03.05.03.04</w:t>
            </w:r>
          </w:p>
        </w:tc>
        <w:tc>
          <w:tcPr>
            <w:tcW w:w="1080" w:type="dxa"/>
          </w:tcPr>
          <w:p w:rsidR="00E37B6F" w:rsidRPr="004A7A1C" w:rsidRDefault="00E37B6F" w:rsidP="00E37B6F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Refurbish and installation of components</w:t>
            </w:r>
          </w:p>
        </w:tc>
        <w:tc>
          <w:tcPr>
            <w:tcW w:w="2970" w:type="dxa"/>
          </w:tcPr>
          <w:p w:rsidR="00E37B6F" w:rsidRPr="004A7A1C" w:rsidRDefault="00E37B6F" w:rsidP="00E37B6F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E37B6F">
              <w:rPr>
                <w:color w:val="548DD4" w:themeColor="text2" w:themeTint="99"/>
                <w:sz w:val="20"/>
                <w:szCs w:val="20"/>
              </w:rPr>
              <w:t xml:space="preserve">FNAD.ELTN.TECH 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(Instrumentation Technician)</w:t>
            </w:r>
          </w:p>
        </w:tc>
        <w:tc>
          <w:tcPr>
            <w:tcW w:w="990" w:type="dxa"/>
          </w:tcPr>
          <w:p w:rsidR="00E37B6F" w:rsidRPr="004A7A1C" w:rsidRDefault="00E37B6F" w:rsidP="00E37B6F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E37B6F" w:rsidRPr="004A7A1C" w:rsidRDefault="00E37B6F" w:rsidP="00E37B6F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E37B6F" w:rsidRPr="004A7A1C" w:rsidRDefault="00E37B6F" w:rsidP="00E37B6F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34</w:t>
            </w:r>
          </w:p>
        </w:tc>
      </w:tr>
      <w:tr w:rsidR="0016711E" w:rsidRPr="007C6CB5" w:rsidTr="007D6764">
        <w:trPr>
          <w:trHeight w:val="510"/>
        </w:trPr>
        <w:tc>
          <w:tcPr>
            <w:tcW w:w="2070" w:type="dxa"/>
          </w:tcPr>
          <w:p w:rsidR="0016711E" w:rsidRPr="004A7A1C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.03.05.03.04</w:t>
            </w:r>
          </w:p>
        </w:tc>
        <w:tc>
          <w:tcPr>
            <w:tcW w:w="1080" w:type="dxa"/>
          </w:tcPr>
          <w:p w:rsidR="0016711E" w:rsidRDefault="00E37B6F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Mechanical Oversight</w:t>
            </w:r>
          </w:p>
        </w:tc>
        <w:tc>
          <w:tcPr>
            <w:tcW w:w="2970" w:type="dxa"/>
          </w:tcPr>
          <w:p w:rsidR="0016711E" w:rsidRPr="00FA79BC" w:rsidRDefault="00E37B6F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E37B6F">
              <w:rPr>
                <w:color w:val="548DD4" w:themeColor="text2" w:themeTint="99"/>
                <w:sz w:val="20"/>
                <w:szCs w:val="20"/>
              </w:rPr>
              <w:t>FNAD.MECH.DESIGN.EN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(Mechanical Engineer)</w:t>
            </w:r>
          </w:p>
        </w:tc>
        <w:tc>
          <w:tcPr>
            <w:tcW w:w="990" w:type="dxa"/>
          </w:tcPr>
          <w:p w:rsidR="0016711E" w:rsidRDefault="00E37B6F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6711E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16711E" w:rsidRPr="004A7A1C" w:rsidRDefault="00E37B6F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4</w:t>
            </w:r>
          </w:p>
        </w:tc>
      </w:tr>
      <w:tr w:rsidR="0016711E" w:rsidRPr="007C6CB5" w:rsidTr="007D6764">
        <w:trPr>
          <w:trHeight w:val="510"/>
        </w:trPr>
        <w:tc>
          <w:tcPr>
            <w:tcW w:w="2070" w:type="dxa"/>
          </w:tcPr>
          <w:p w:rsidR="0016711E" w:rsidRPr="004A7A1C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.03.05.03.04</w:t>
            </w:r>
          </w:p>
        </w:tc>
        <w:tc>
          <w:tcPr>
            <w:tcW w:w="1080" w:type="dxa"/>
          </w:tcPr>
          <w:p w:rsidR="0016711E" w:rsidRDefault="00E37B6F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Mechanical Maintenance</w:t>
            </w:r>
          </w:p>
        </w:tc>
        <w:tc>
          <w:tcPr>
            <w:tcW w:w="2970" w:type="dxa"/>
          </w:tcPr>
          <w:p w:rsidR="0016711E" w:rsidRPr="00FA79BC" w:rsidRDefault="00E37B6F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E37B6F">
              <w:rPr>
                <w:color w:val="548DD4" w:themeColor="text2" w:themeTint="99"/>
                <w:sz w:val="20"/>
                <w:szCs w:val="20"/>
              </w:rPr>
              <w:t>FNAD.MECH.SYSTM.TECH</w:t>
            </w:r>
            <w:r>
              <w:rPr>
                <w:color w:val="548DD4" w:themeColor="text2" w:themeTint="99"/>
                <w:sz w:val="20"/>
                <w:szCs w:val="20"/>
              </w:rPr>
              <w:br/>
              <w:t>(Mechanical Technician)</w:t>
            </w:r>
          </w:p>
        </w:tc>
        <w:tc>
          <w:tcPr>
            <w:tcW w:w="990" w:type="dxa"/>
          </w:tcPr>
          <w:p w:rsidR="0016711E" w:rsidRDefault="00E37B6F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16711E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16711E" w:rsidRPr="004A7A1C" w:rsidRDefault="00E37B6F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18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.03.05.03.04</w:t>
            </w:r>
          </w:p>
        </w:tc>
        <w:tc>
          <w:tcPr>
            <w:tcW w:w="1080" w:type="dxa"/>
          </w:tcPr>
          <w:p w:rsidR="00BE7025" w:rsidRPr="004A7A1C" w:rsidRDefault="00E37B6F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Survey and align SEMs</w:t>
            </w:r>
          </w:p>
        </w:tc>
        <w:tc>
          <w:tcPr>
            <w:tcW w:w="2970" w:type="dxa"/>
          </w:tcPr>
          <w:p w:rsidR="00BE7025" w:rsidRPr="004A7A1C" w:rsidRDefault="00E37B6F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E37B6F">
              <w:rPr>
                <w:color w:val="548DD4" w:themeColor="text2" w:themeTint="99"/>
                <w:sz w:val="20"/>
                <w:szCs w:val="20"/>
              </w:rPr>
              <w:t xml:space="preserve">FNPD.METROLOGIST </w:t>
            </w:r>
            <w:r>
              <w:rPr>
                <w:color w:val="548DD4" w:themeColor="text2" w:themeTint="99"/>
                <w:sz w:val="20"/>
                <w:szCs w:val="20"/>
              </w:rPr>
              <w:br/>
            </w:r>
            <w:r w:rsidRPr="00E37B6F">
              <w:rPr>
                <w:color w:val="548DD4" w:themeColor="text2" w:themeTint="99"/>
                <w:sz w:val="20"/>
                <w:szCs w:val="20"/>
              </w:rPr>
              <w:t>(Alignment)</w:t>
            </w:r>
          </w:p>
        </w:tc>
        <w:tc>
          <w:tcPr>
            <w:tcW w:w="990" w:type="dxa"/>
          </w:tcPr>
          <w:p w:rsidR="00BE7025" w:rsidRPr="004A7A1C" w:rsidRDefault="00E37B6F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BE7025" w:rsidRPr="004A7A1C" w:rsidRDefault="00E37B6F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BE7025" w:rsidRPr="004A7A1C" w:rsidRDefault="00E37B6F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21</w:t>
            </w:r>
          </w:p>
        </w:tc>
      </w:tr>
    </w:tbl>
    <w:p w:rsidR="00645E34" w:rsidRPr="00AB49DF" w:rsidRDefault="00E57EA8" w:rsidP="00AB49D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</w:t>
      </w:r>
      <w:r w:rsidR="00FA79BC">
        <w:t>e</w:t>
      </w:r>
      <w:r w:rsidR="00AB49DF">
        <w:t>stimates assume 85% efficiency)</w:t>
      </w:r>
      <w:r w:rsidR="00702205">
        <w:br w:type="page"/>
      </w:r>
      <w:r w:rsidR="00354189" w:rsidRPr="00354189">
        <w:rPr>
          <w:b/>
          <w:u w:val="single"/>
        </w:rPr>
        <w:lastRenderedPageBreak/>
        <w:t>Additional Background Information</w:t>
      </w:r>
    </w:p>
    <w:p w:rsidR="001B73DB" w:rsidRDefault="001B73DB" w:rsidP="001B73DB">
      <w:pPr>
        <w:ind w:right="360"/>
      </w:pPr>
    </w:p>
    <w:p w:rsidR="001B73DB" w:rsidRDefault="00EB1C1E" w:rsidP="001B73DB">
      <w:pPr>
        <w:ind w:right="360"/>
      </w:pPr>
      <w:r>
        <w:t>Secondary Emission Monitors (</w:t>
      </w:r>
      <w:r w:rsidR="001B73DB">
        <w:t>SEMs</w:t>
      </w:r>
      <w:r>
        <w:t xml:space="preserve">) </w:t>
      </w:r>
      <w:r w:rsidR="001B73DB">
        <w:t>will provide beam profile, position and intensity information during studies periods</w:t>
      </w:r>
      <w:r w:rsidR="0091750A">
        <w:t xml:space="preserve"> at two locations in the Delivery Ring</w:t>
      </w:r>
      <w:r w:rsidR="001B73DB">
        <w:t xml:space="preserve">.  This diagnostic cannot be used when there is circulating beam.  Instead, these SEMs will only occasionally be put into the beam for troubleshooting, diagnostic reasons and beam studies. </w:t>
      </w:r>
    </w:p>
    <w:p w:rsidR="001B73DB" w:rsidRDefault="001B73DB" w:rsidP="001B73DB">
      <w:pPr>
        <w:ind w:right="360"/>
      </w:pPr>
    </w:p>
    <w:p w:rsidR="001B73DB" w:rsidRDefault="001B73DB" w:rsidP="001B73DB">
      <w:pPr>
        <w:ind w:right="360"/>
      </w:pPr>
      <w:r>
        <w:t xml:space="preserve">Labor and M&amp;S </w:t>
      </w:r>
      <w:r w:rsidR="00EB1C1E">
        <w:t>cost estimates were generated via consultation with Accelerator Division Instrumentation Engineers and are documented</w:t>
      </w:r>
      <w:r>
        <w:t xml:space="preserve"> </w:t>
      </w:r>
      <w:r w:rsidR="00EB1C1E">
        <w:t xml:space="preserve">in the </w:t>
      </w:r>
      <w:proofErr w:type="spellStart"/>
      <w:r>
        <w:t>Multiwire</w:t>
      </w:r>
      <w:proofErr w:type="spellEnd"/>
      <w:r>
        <w:t>/SEM costing spreadsheet</w:t>
      </w:r>
      <w:r>
        <w:rPr>
          <w:vertAlign w:val="superscript"/>
        </w:rPr>
        <w:t>1</w:t>
      </w:r>
      <w:r w:rsidR="00EB1C1E">
        <w:t xml:space="preserve">.  </w:t>
      </w:r>
      <w:r>
        <w:t xml:space="preserve"> </w:t>
      </w:r>
      <w:r w:rsidR="00EB1C1E">
        <w:t xml:space="preserve">Estimates include </w:t>
      </w:r>
      <w:r>
        <w:t>both materials as well as contract electricians for cable pulls</w:t>
      </w:r>
      <w:r w:rsidR="00EB1C1E">
        <w:t>.  We have enough vacuum cans.</w:t>
      </w:r>
    </w:p>
    <w:p w:rsidR="00EB1C1E" w:rsidRDefault="00916D02" w:rsidP="00EB1C1E">
      <w:pPr>
        <w:pStyle w:val="ListParagraph"/>
        <w:numPr>
          <w:ilvl w:val="0"/>
          <w:numId w:val="2"/>
        </w:numPr>
        <w:ind w:right="360"/>
      </w:pPr>
      <w:r>
        <w:t xml:space="preserve">Base Plan:  </w:t>
      </w:r>
      <w:r w:rsidR="00EB1C1E">
        <w:t>Assumes tunnel components are not changed, and electronics will not be upgraded.  Assumes no SEM will be moved and no cable pulls will be needed.</w:t>
      </w:r>
    </w:p>
    <w:p w:rsidR="001B73DB" w:rsidRDefault="00EB1C1E" w:rsidP="001B73DB">
      <w:pPr>
        <w:pStyle w:val="ListParagraph"/>
        <w:numPr>
          <w:ilvl w:val="0"/>
          <w:numId w:val="2"/>
        </w:numPr>
        <w:ind w:right="360"/>
      </w:pPr>
      <w:r>
        <w:t xml:space="preserve">Higher Cost </w:t>
      </w:r>
      <w:r w:rsidR="006B309C">
        <w:t>Option</w:t>
      </w:r>
      <w:r w:rsidR="001B73DB">
        <w:t>:  Assumes the motor assemblies will be replaced ne</w:t>
      </w:r>
      <w:r>
        <w:t xml:space="preserve">w, all vacuum cans replaced, new cables pulled and </w:t>
      </w:r>
      <w:r w:rsidR="001B73DB">
        <w:t>all new electronics will be implemented.</w:t>
      </w:r>
      <w:r w:rsidR="006B309C">
        <w:t xml:space="preserve">  The higher cost option would result in additional labor as well as an additional $59K in M&amp;S.  The differences are outlined in the below two tables.</w:t>
      </w:r>
    </w:p>
    <w:p w:rsidR="001B73DB" w:rsidRDefault="001B73DB" w:rsidP="001B73DB">
      <w:pPr>
        <w:ind w:right="360"/>
      </w:pPr>
    </w:p>
    <w:p w:rsidR="001B73DB" w:rsidRDefault="00916D02" w:rsidP="001B73DB">
      <w:pPr>
        <w:ind w:right="360"/>
      </w:pPr>
      <w:r>
        <w:t>A comparison of the</w:t>
      </w:r>
      <w:r w:rsidR="0001171F">
        <w:t xml:space="preserve"> total</w:t>
      </w:r>
      <w:r>
        <w:t xml:space="preserve"> labor and M&amp;S </w:t>
      </w:r>
      <w:r w:rsidR="001B73DB">
        <w:t>costing fo</w:t>
      </w:r>
      <w:r w:rsidR="006E1849">
        <w:t xml:space="preserve">r </w:t>
      </w:r>
      <w:r>
        <w:t>the two options mentioned above are given below</w:t>
      </w:r>
      <w:r w:rsidR="001B73DB" w:rsidRPr="00B27EB1">
        <w:rPr>
          <w:vertAlign w:val="superscript"/>
        </w:rPr>
        <w:t>1</w:t>
      </w:r>
      <w:r w:rsidR="001B73DB">
        <w:t>:</w:t>
      </w:r>
    </w:p>
    <w:p w:rsidR="00857286" w:rsidRDefault="00857286" w:rsidP="001B73DB">
      <w:pPr>
        <w:ind w:right="360"/>
      </w:pPr>
    </w:p>
    <w:p w:rsidR="001B73DB" w:rsidRDefault="001B73DB" w:rsidP="001B73DB">
      <w:pPr>
        <w:ind w:right="360"/>
      </w:pPr>
      <w:r w:rsidRPr="006112A2">
        <w:rPr>
          <w:b/>
        </w:rPr>
        <w:t>Labor</w:t>
      </w:r>
      <w:r w:rsidR="00857286">
        <w:rPr>
          <w:b/>
        </w:rPr>
        <w:t xml:space="preserve">: </w:t>
      </w:r>
      <w:r w:rsidR="00857286">
        <w:t>Total labor hours for preliminary design, final design and implementation stages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2141"/>
        <w:gridCol w:w="2700"/>
      </w:tblGrid>
      <w:tr w:rsidR="006B309C" w:rsidTr="00916D02">
        <w:tc>
          <w:tcPr>
            <w:tcW w:w="8388" w:type="dxa"/>
            <w:gridSpan w:val="3"/>
            <w:shd w:val="clear" w:color="auto" w:fill="D9D9D9" w:themeFill="background1" w:themeFillShade="D9"/>
          </w:tcPr>
          <w:p w:rsidR="006B309C" w:rsidRDefault="00A179A2" w:rsidP="006B309C">
            <w:pPr>
              <w:ind w:right="360"/>
              <w:jc w:val="center"/>
            </w:pPr>
            <w:r>
              <w:t xml:space="preserve">Total </w:t>
            </w:r>
            <w:r w:rsidR="006B309C">
              <w:t>Labor Hours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</w:p>
        </w:tc>
        <w:tc>
          <w:tcPr>
            <w:tcW w:w="2141" w:type="dxa"/>
          </w:tcPr>
          <w:p w:rsidR="006B309C" w:rsidRDefault="00916D02" w:rsidP="004410C6">
            <w:pPr>
              <w:ind w:right="360"/>
            </w:pPr>
            <w:r>
              <w:t>Base Plan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Higher Cost Option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Controls Engineer</w:t>
            </w:r>
          </w:p>
        </w:tc>
        <w:tc>
          <w:tcPr>
            <w:tcW w:w="2141" w:type="dxa"/>
          </w:tcPr>
          <w:p w:rsidR="006B309C" w:rsidRDefault="006B309C" w:rsidP="004410C6">
            <w:pPr>
              <w:ind w:right="360"/>
            </w:pPr>
            <w:r>
              <w:t>0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6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Controls Technician</w:t>
            </w:r>
          </w:p>
        </w:tc>
        <w:tc>
          <w:tcPr>
            <w:tcW w:w="2141" w:type="dxa"/>
          </w:tcPr>
          <w:p w:rsidR="006B309C" w:rsidRDefault="006B309C" w:rsidP="004410C6">
            <w:pPr>
              <w:ind w:right="360"/>
            </w:pPr>
            <w:r>
              <w:t>0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32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Mechanical Engineer</w:t>
            </w:r>
          </w:p>
        </w:tc>
        <w:tc>
          <w:tcPr>
            <w:tcW w:w="2141" w:type="dxa"/>
          </w:tcPr>
          <w:p w:rsidR="006B309C" w:rsidRDefault="006B309C" w:rsidP="004410C6">
            <w:pPr>
              <w:ind w:right="360"/>
            </w:pPr>
            <w:r>
              <w:t>3.2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128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Mechanical Technician</w:t>
            </w:r>
          </w:p>
        </w:tc>
        <w:tc>
          <w:tcPr>
            <w:tcW w:w="2141" w:type="dxa"/>
          </w:tcPr>
          <w:p w:rsidR="006B309C" w:rsidRDefault="006B309C" w:rsidP="004410C6">
            <w:pPr>
              <w:ind w:right="360"/>
            </w:pPr>
            <w:r>
              <w:t>14.4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136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Instrumentation Engineer</w:t>
            </w:r>
          </w:p>
        </w:tc>
        <w:tc>
          <w:tcPr>
            <w:tcW w:w="2141" w:type="dxa"/>
          </w:tcPr>
          <w:p w:rsidR="006B309C" w:rsidRDefault="006B309C" w:rsidP="004410C6">
            <w:pPr>
              <w:ind w:right="360"/>
            </w:pPr>
            <w:r>
              <w:t>3.2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18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Instrumentation Technician</w:t>
            </w:r>
          </w:p>
        </w:tc>
        <w:tc>
          <w:tcPr>
            <w:tcW w:w="2141" w:type="dxa"/>
          </w:tcPr>
          <w:p w:rsidR="006B309C" w:rsidRDefault="006B309C" w:rsidP="004410C6">
            <w:pPr>
              <w:ind w:right="360"/>
            </w:pPr>
            <w:r>
              <w:t>25.6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78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Alignment</w:t>
            </w:r>
          </w:p>
        </w:tc>
        <w:tc>
          <w:tcPr>
            <w:tcW w:w="2141" w:type="dxa"/>
          </w:tcPr>
          <w:p w:rsidR="006B309C" w:rsidRDefault="006B309C" w:rsidP="004410C6">
            <w:pPr>
              <w:ind w:right="360"/>
            </w:pPr>
            <w:r>
              <w:t>16</w:t>
            </w:r>
          </w:p>
        </w:tc>
        <w:tc>
          <w:tcPr>
            <w:tcW w:w="2700" w:type="dxa"/>
          </w:tcPr>
          <w:p w:rsidR="006B309C" w:rsidRDefault="00916D02" w:rsidP="004410C6">
            <w:pPr>
              <w:ind w:right="360"/>
            </w:pPr>
            <w:r>
              <w:t>72</w:t>
            </w:r>
          </w:p>
        </w:tc>
      </w:tr>
      <w:tr w:rsidR="006B309C" w:rsidTr="00916D02">
        <w:tc>
          <w:tcPr>
            <w:tcW w:w="3547" w:type="dxa"/>
          </w:tcPr>
          <w:p w:rsidR="006B309C" w:rsidRDefault="006B309C" w:rsidP="004410C6">
            <w:pPr>
              <w:ind w:right="360"/>
            </w:pPr>
            <w:r>
              <w:t>Engineering Physicist</w:t>
            </w:r>
          </w:p>
        </w:tc>
        <w:tc>
          <w:tcPr>
            <w:tcW w:w="2141" w:type="dxa"/>
          </w:tcPr>
          <w:p w:rsidR="006B309C" w:rsidRDefault="00857286" w:rsidP="004410C6">
            <w:pPr>
              <w:ind w:right="360"/>
            </w:pPr>
            <w:r>
              <w:t>86</w:t>
            </w:r>
          </w:p>
        </w:tc>
        <w:tc>
          <w:tcPr>
            <w:tcW w:w="2700" w:type="dxa"/>
          </w:tcPr>
          <w:p w:rsidR="006B309C" w:rsidRDefault="00A179A2" w:rsidP="004410C6">
            <w:pPr>
              <w:ind w:right="360"/>
            </w:pPr>
            <w:r>
              <w:t>162</w:t>
            </w:r>
          </w:p>
        </w:tc>
      </w:tr>
    </w:tbl>
    <w:p w:rsidR="001B73DB" w:rsidRDefault="001B73DB" w:rsidP="001B73DB">
      <w:pPr>
        <w:ind w:right="360"/>
        <w:rPr>
          <w:b/>
        </w:rPr>
      </w:pPr>
    </w:p>
    <w:p w:rsidR="001B73DB" w:rsidRPr="001F07D5" w:rsidRDefault="00857286" w:rsidP="001B73DB">
      <w:pPr>
        <w:ind w:right="360"/>
        <w:rPr>
          <w:b/>
        </w:rPr>
      </w:pPr>
      <w:r>
        <w:rPr>
          <w:b/>
        </w:rPr>
        <w:t xml:space="preserve">M&amp;S: </w:t>
      </w:r>
      <w:r>
        <w:t>Total M&amp;S</w:t>
      </w:r>
      <w:r>
        <w:t xml:space="preserve"> for preliminary design, final design and implementation stages of the project.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058"/>
        <w:gridCol w:w="1620"/>
        <w:gridCol w:w="2790"/>
      </w:tblGrid>
      <w:tr w:rsidR="001B73DB" w:rsidTr="006B309C">
        <w:tc>
          <w:tcPr>
            <w:tcW w:w="9468" w:type="dxa"/>
            <w:gridSpan w:val="3"/>
            <w:shd w:val="clear" w:color="auto" w:fill="D9D9D9" w:themeFill="background1" w:themeFillShade="D9"/>
          </w:tcPr>
          <w:p w:rsidR="001B73DB" w:rsidRDefault="00A179A2" w:rsidP="004410C6">
            <w:pPr>
              <w:ind w:right="360"/>
              <w:jc w:val="center"/>
            </w:pPr>
            <w:r>
              <w:t xml:space="preserve">Total </w:t>
            </w:r>
            <w:r w:rsidR="006B309C">
              <w:t>M&amp;S</w:t>
            </w:r>
          </w:p>
        </w:tc>
      </w:tr>
      <w:tr w:rsidR="006B309C" w:rsidTr="006B309C">
        <w:tc>
          <w:tcPr>
            <w:tcW w:w="5058" w:type="dxa"/>
          </w:tcPr>
          <w:p w:rsidR="006B309C" w:rsidRDefault="006B309C" w:rsidP="004410C6">
            <w:pPr>
              <w:ind w:right="360"/>
            </w:pPr>
          </w:p>
        </w:tc>
        <w:tc>
          <w:tcPr>
            <w:tcW w:w="1620" w:type="dxa"/>
          </w:tcPr>
          <w:p w:rsidR="006B309C" w:rsidRDefault="006B309C" w:rsidP="004410C6">
            <w:pPr>
              <w:ind w:right="360"/>
            </w:pPr>
            <w:r>
              <w:t>Base Plan</w:t>
            </w:r>
          </w:p>
        </w:tc>
        <w:tc>
          <w:tcPr>
            <w:tcW w:w="2790" w:type="dxa"/>
          </w:tcPr>
          <w:p w:rsidR="006B309C" w:rsidRDefault="006B309C" w:rsidP="004410C6">
            <w:pPr>
              <w:ind w:right="360"/>
            </w:pPr>
            <w:r>
              <w:t>Higher Cost Option</w:t>
            </w:r>
          </w:p>
        </w:tc>
      </w:tr>
      <w:tr w:rsidR="006B309C" w:rsidTr="006B309C">
        <w:tc>
          <w:tcPr>
            <w:tcW w:w="5058" w:type="dxa"/>
          </w:tcPr>
          <w:p w:rsidR="006B309C" w:rsidRDefault="006B309C" w:rsidP="004410C6">
            <w:pPr>
              <w:ind w:right="360"/>
            </w:pPr>
            <w:r>
              <w:t>Motor Assembly</w:t>
            </w:r>
          </w:p>
        </w:tc>
        <w:tc>
          <w:tcPr>
            <w:tcW w:w="1620" w:type="dxa"/>
          </w:tcPr>
          <w:p w:rsidR="006B309C" w:rsidRDefault="006B309C" w:rsidP="004410C6">
            <w:pPr>
              <w:ind w:right="360"/>
            </w:pPr>
            <w:r>
              <w:t>$12K</w:t>
            </w:r>
          </w:p>
        </w:tc>
        <w:tc>
          <w:tcPr>
            <w:tcW w:w="2790" w:type="dxa"/>
          </w:tcPr>
          <w:p w:rsidR="006B309C" w:rsidRDefault="006B309C" w:rsidP="004410C6">
            <w:pPr>
              <w:ind w:right="360"/>
            </w:pPr>
            <w:r>
              <w:t>$27K</w:t>
            </w:r>
          </w:p>
        </w:tc>
      </w:tr>
      <w:tr w:rsidR="006B309C" w:rsidTr="006B309C">
        <w:tc>
          <w:tcPr>
            <w:tcW w:w="5058" w:type="dxa"/>
          </w:tcPr>
          <w:p w:rsidR="006B309C" w:rsidRDefault="006B309C" w:rsidP="004410C6">
            <w:pPr>
              <w:ind w:right="360"/>
            </w:pPr>
            <w:r>
              <w:t>Vacuum Can</w:t>
            </w:r>
          </w:p>
        </w:tc>
        <w:tc>
          <w:tcPr>
            <w:tcW w:w="1620" w:type="dxa"/>
          </w:tcPr>
          <w:p w:rsidR="006B309C" w:rsidRDefault="006B309C" w:rsidP="004410C6">
            <w:pPr>
              <w:ind w:right="360"/>
            </w:pPr>
            <w:r>
              <w:t>$6K</w:t>
            </w:r>
          </w:p>
        </w:tc>
        <w:tc>
          <w:tcPr>
            <w:tcW w:w="2790" w:type="dxa"/>
          </w:tcPr>
          <w:p w:rsidR="006B309C" w:rsidRDefault="006B309C" w:rsidP="004410C6">
            <w:pPr>
              <w:ind w:right="360"/>
            </w:pPr>
            <w:r>
              <w:t>$29K</w:t>
            </w:r>
          </w:p>
        </w:tc>
      </w:tr>
      <w:tr w:rsidR="006B309C" w:rsidTr="006B309C">
        <w:tc>
          <w:tcPr>
            <w:tcW w:w="5058" w:type="dxa"/>
          </w:tcPr>
          <w:p w:rsidR="006B309C" w:rsidRDefault="006B309C" w:rsidP="004410C6">
            <w:pPr>
              <w:ind w:right="360"/>
            </w:pPr>
            <w:r>
              <w:t>Electronics</w:t>
            </w:r>
          </w:p>
        </w:tc>
        <w:tc>
          <w:tcPr>
            <w:tcW w:w="1620" w:type="dxa"/>
          </w:tcPr>
          <w:p w:rsidR="006B309C" w:rsidRDefault="006B309C" w:rsidP="004410C6">
            <w:pPr>
              <w:ind w:right="360"/>
            </w:pPr>
            <w:r>
              <w:t>$0K</w:t>
            </w:r>
          </w:p>
        </w:tc>
        <w:tc>
          <w:tcPr>
            <w:tcW w:w="2790" w:type="dxa"/>
          </w:tcPr>
          <w:p w:rsidR="006B309C" w:rsidRDefault="006B309C" w:rsidP="004410C6">
            <w:pPr>
              <w:ind w:right="360"/>
            </w:pPr>
            <w:r>
              <w:t>$20K</w:t>
            </w:r>
          </w:p>
        </w:tc>
      </w:tr>
      <w:tr w:rsidR="006B309C" w:rsidTr="006B309C">
        <w:tc>
          <w:tcPr>
            <w:tcW w:w="5058" w:type="dxa"/>
          </w:tcPr>
          <w:p w:rsidR="006B309C" w:rsidRDefault="006B309C" w:rsidP="004410C6">
            <w:pPr>
              <w:ind w:right="360"/>
            </w:pPr>
            <w:r>
              <w:t>Electricians ($1600/week/2 person team)</w:t>
            </w:r>
          </w:p>
        </w:tc>
        <w:tc>
          <w:tcPr>
            <w:tcW w:w="1620" w:type="dxa"/>
          </w:tcPr>
          <w:p w:rsidR="006B309C" w:rsidRDefault="006B309C" w:rsidP="004410C6">
            <w:pPr>
              <w:ind w:right="360"/>
            </w:pPr>
            <w:r>
              <w:t>$0</w:t>
            </w:r>
            <w:r>
              <w:rPr>
                <w:vanish/>
              </w:rPr>
              <w:t>.5tronics will not be changed.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t>K</w:t>
            </w:r>
          </w:p>
        </w:tc>
        <w:tc>
          <w:tcPr>
            <w:tcW w:w="2790" w:type="dxa"/>
          </w:tcPr>
          <w:p w:rsidR="006B309C" w:rsidRDefault="006B309C" w:rsidP="004410C6">
            <w:pPr>
              <w:ind w:right="360"/>
            </w:pPr>
            <w:r>
              <w:t>$0.5K</w:t>
            </w:r>
          </w:p>
        </w:tc>
      </w:tr>
      <w:tr w:rsidR="006B309C" w:rsidTr="006B309C">
        <w:trPr>
          <w:trHeight w:val="152"/>
        </w:trPr>
        <w:tc>
          <w:tcPr>
            <w:tcW w:w="5058" w:type="dxa"/>
          </w:tcPr>
          <w:p w:rsidR="006B309C" w:rsidRDefault="006B309C" w:rsidP="004410C6">
            <w:pPr>
              <w:ind w:right="360"/>
            </w:pPr>
            <w:r>
              <w:t>Total</w:t>
            </w:r>
          </w:p>
        </w:tc>
        <w:tc>
          <w:tcPr>
            <w:tcW w:w="1620" w:type="dxa"/>
          </w:tcPr>
          <w:p w:rsidR="006B309C" w:rsidRDefault="006B309C" w:rsidP="004410C6">
            <w:pPr>
              <w:ind w:right="360"/>
            </w:pPr>
            <w:r>
              <w:t>$18K</w:t>
            </w:r>
          </w:p>
        </w:tc>
        <w:tc>
          <w:tcPr>
            <w:tcW w:w="2790" w:type="dxa"/>
          </w:tcPr>
          <w:p w:rsidR="006B309C" w:rsidRDefault="006B309C" w:rsidP="004410C6">
            <w:pPr>
              <w:ind w:right="360"/>
            </w:pPr>
            <w:r>
              <w:t>$77K</w:t>
            </w:r>
          </w:p>
        </w:tc>
      </w:tr>
    </w:tbl>
    <w:p w:rsidR="001B73DB" w:rsidRDefault="001B73DB" w:rsidP="001B73DB">
      <w:pPr>
        <w:ind w:right="360"/>
      </w:pPr>
    </w:p>
    <w:p w:rsidR="00916D02" w:rsidRDefault="00916D02" w:rsidP="001B73DB">
      <w:pPr>
        <w:ind w:right="360"/>
      </w:pPr>
    </w:p>
    <w:p w:rsidR="00916D02" w:rsidRDefault="00916D02" w:rsidP="001B73DB">
      <w:pPr>
        <w:ind w:right="360"/>
      </w:pPr>
    </w:p>
    <w:p w:rsidR="001B73DB" w:rsidRDefault="001B73DB" w:rsidP="001B73DB">
      <w:pPr>
        <w:ind w:right="360"/>
      </w:pPr>
    </w:p>
    <w:p w:rsidR="001B73DB" w:rsidRDefault="001B73DB" w:rsidP="001B73DB">
      <w:pPr>
        <w:ind w:right="360"/>
      </w:pPr>
      <w:r>
        <w:t>References:</w:t>
      </w:r>
    </w:p>
    <w:p w:rsidR="001B73DB" w:rsidRPr="001F50A0" w:rsidRDefault="001B73DB" w:rsidP="001B73DB">
      <w:pPr>
        <w:pStyle w:val="ListParagraph"/>
        <w:numPr>
          <w:ilvl w:val="0"/>
          <w:numId w:val="1"/>
        </w:numPr>
        <w:spacing w:line="276" w:lineRule="auto"/>
      </w:pPr>
      <w:r>
        <w:t xml:space="preserve">B. </w:t>
      </w:r>
      <w:proofErr w:type="spellStart"/>
      <w:r>
        <w:t>Drendel</w:t>
      </w:r>
      <w:proofErr w:type="spellEnd"/>
      <w:r>
        <w:t xml:space="preserve">, G. </w:t>
      </w:r>
      <w:proofErr w:type="spellStart"/>
      <w:r>
        <w:t>Tassotto</w:t>
      </w:r>
      <w:proofErr w:type="spellEnd"/>
      <w:r>
        <w:t xml:space="preserve">, “Beam Line and Storage Ring SEM and </w:t>
      </w:r>
      <w:proofErr w:type="spellStart"/>
      <w:r>
        <w:t>Multiwires</w:t>
      </w:r>
      <w:proofErr w:type="spellEnd"/>
      <w:r>
        <w:t xml:space="preserve"> for Mu2e,</w:t>
      </w:r>
      <w:proofErr w:type="gramStart"/>
      <w:r w:rsidR="004410C6">
        <w:t>”  Mu2e</w:t>
      </w:r>
      <w:proofErr w:type="gramEnd"/>
      <w:r w:rsidR="004410C6">
        <w:t xml:space="preserve"> Documents Database #1608</w:t>
      </w:r>
      <w:r>
        <w:t>, February 2012.</w:t>
      </w:r>
    </w:p>
    <w:p w:rsidR="00702205" w:rsidRDefault="00702205" w:rsidP="001B73DB">
      <w:pPr>
        <w:ind w:right="360"/>
      </w:pPr>
    </w:p>
    <w:sectPr w:rsidR="00702205" w:rsidSect="003769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15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192"/>
    <w:multiLevelType w:val="hybridMultilevel"/>
    <w:tmpl w:val="762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50AA7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FCD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0F9F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FF2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83B33"/>
    <w:multiLevelType w:val="hybridMultilevel"/>
    <w:tmpl w:val="BBD2E682"/>
    <w:lvl w:ilvl="0" w:tplc="6308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AD0"/>
    <w:multiLevelType w:val="hybridMultilevel"/>
    <w:tmpl w:val="E0CEEB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8063CF"/>
    <w:multiLevelType w:val="hybridMultilevel"/>
    <w:tmpl w:val="912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F"/>
    <w:rsid w:val="0001171F"/>
    <w:rsid w:val="00013C90"/>
    <w:rsid w:val="00054A37"/>
    <w:rsid w:val="000742C0"/>
    <w:rsid w:val="00094CC1"/>
    <w:rsid w:val="000965B5"/>
    <w:rsid w:val="000D527B"/>
    <w:rsid w:val="001149CD"/>
    <w:rsid w:val="00150C2A"/>
    <w:rsid w:val="0016711E"/>
    <w:rsid w:val="001B73DB"/>
    <w:rsid w:val="00253C6F"/>
    <w:rsid w:val="002665D8"/>
    <w:rsid w:val="003146DA"/>
    <w:rsid w:val="00317F9F"/>
    <w:rsid w:val="00325A63"/>
    <w:rsid w:val="003271A9"/>
    <w:rsid w:val="00333DA8"/>
    <w:rsid w:val="00354189"/>
    <w:rsid w:val="00356673"/>
    <w:rsid w:val="0037698F"/>
    <w:rsid w:val="00397A68"/>
    <w:rsid w:val="003D440B"/>
    <w:rsid w:val="003F50C1"/>
    <w:rsid w:val="0043135E"/>
    <w:rsid w:val="004410C6"/>
    <w:rsid w:val="004550C2"/>
    <w:rsid w:val="00464109"/>
    <w:rsid w:val="004949CA"/>
    <w:rsid w:val="004A7A1C"/>
    <w:rsid w:val="004B7F8B"/>
    <w:rsid w:val="004D1480"/>
    <w:rsid w:val="004E616D"/>
    <w:rsid w:val="00505D4E"/>
    <w:rsid w:val="00510FC0"/>
    <w:rsid w:val="00552811"/>
    <w:rsid w:val="0056277D"/>
    <w:rsid w:val="00575E36"/>
    <w:rsid w:val="00590635"/>
    <w:rsid w:val="005D120C"/>
    <w:rsid w:val="005E29AF"/>
    <w:rsid w:val="005F7B4C"/>
    <w:rsid w:val="006049BC"/>
    <w:rsid w:val="00617A88"/>
    <w:rsid w:val="00623C32"/>
    <w:rsid w:val="00636BCB"/>
    <w:rsid w:val="00645E34"/>
    <w:rsid w:val="00653430"/>
    <w:rsid w:val="00675A7E"/>
    <w:rsid w:val="00686C81"/>
    <w:rsid w:val="00687E03"/>
    <w:rsid w:val="00697190"/>
    <w:rsid w:val="006A01A1"/>
    <w:rsid w:val="006B309C"/>
    <w:rsid w:val="006E1849"/>
    <w:rsid w:val="006F2B70"/>
    <w:rsid w:val="006F5E08"/>
    <w:rsid w:val="00702205"/>
    <w:rsid w:val="00717D81"/>
    <w:rsid w:val="0072313A"/>
    <w:rsid w:val="00762009"/>
    <w:rsid w:val="00763301"/>
    <w:rsid w:val="00777E54"/>
    <w:rsid w:val="007903D1"/>
    <w:rsid w:val="007938A1"/>
    <w:rsid w:val="007C6CB5"/>
    <w:rsid w:val="007C6E00"/>
    <w:rsid w:val="007D6764"/>
    <w:rsid w:val="008171CB"/>
    <w:rsid w:val="00857286"/>
    <w:rsid w:val="008842BB"/>
    <w:rsid w:val="00887FE4"/>
    <w:rsid w:val="008A0DB5"/>
    <w:rsid w:val="008C1F11"/>
    <w:rsid w:val="008D7438"/>
    <w:rsid w:val="00916D02"/>
    <w:rsid w:val="0091750A"/>
    <w:rsid w:val="00937248"/>
    <w:rsid w:val="00963869"/>
    <w:rsid w:val="009701A6"/>
    <w:rsid w:val="00977FED"/>
    <w:rsid w:val="009902B3"/>
    <w:rsid w:val="00991CE1"/>
    <w:rsid w:val="009B70A8"/>
    <w:rsid w:val="009C4B35"/>
    <w:rsid w:val="009D021C"/>
    <w:rsid w:val="00A179A2"/>
    <w:rsid w:val="00A3576C"/>
    <w:rsid w:val="00A619B2"/>
    <w:rsid w:val="00A70EA5"/>
    <w:rsid w:val="00A76DE2"/>
    <w:rsid w:val="00A86C5A"/>
    <w:rsid w:val="00AB49DF"/>
    <w:rsid w:val="00AD2DA7"/>
    <w:rsid w:val="00AD3C64"/>
    <w:rsid w:val="00AE1DAA"/>
    <w:rsid w:val="00B22E5E"/>
    <w:rsid w:val="00B37BCA"/>
    <w:rsid w:val="00B514D0"/>
    <w:rsid w:val="00B6667C"/>
    <w:rsid w:val="00B819E3"/>
    <w:rsid w:val="00B85B78"/>
    <w:rsid w:val="00BA6144"/>
    <w:rsid w:val="00BE0A7D"/>
    <w:rsid w:val="00BE4384"/>
    <w:rsid w:val="00BE7025"/>
    <w:rsid w:val="00C056B6"/>
    <w:rsid w:val="00C2671B"/>
    <w:rsid w:val="00C4063E"/>
    <w:rsid w:val="00C74115"/>
    <w:rsid w:val="00CA0229"/>
    <w:rsid w:val="00CB4BA9"/>
    <w:rsid w:val="00CD36E4"/>
    <w:rsid w:val="00CD3858"/>
    <w:rsid w:val="00CF7EA1"/>
    <w:rsid w:val="00D11845"/>
    <w:rsid w:val="00D30A32"/>
    <w:rsid w:val="00D3672F"/>
    <w:rsid w:val="00D36AC2"/>
    <w:rsid w:val="00D558A9"/>
    <w:rsid w:val="00D72B40"/>
    <w:rsid w:val="00DE2381"/>
    <w:rsid w:val="00DE6A2B"/>
    <w:rsid w:val="00DF46B9"/>
    <w:rsid w:val="00E37B6F"/>
    <w:rsid w:val="00E57EA8"/>
    <w:rsid w:val="00E667D1"/>
    <w:rsid w:val="00E72D39"/>
    <w:rsid w:val="00E87FC7"/>
    <w:rsid w:val="00EB1C1E"/>
    <w:rsid w:val="00F10B1E"/>
    <w:rsid w:val="00F13CE7"/>
    <w:rsid w:val="00F31D96"/>
    <w:rsid w:val="00F534B2"/>
    <w:rsid w:val="00F74A25"/>
    <w:rsid w:val="00F90A42"/>
    <w:rsid w:val="00F9298D"/>
    <w:rsid w:val="00F952C0"/>
    <w:rsid w:val="00FA75A0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Glenzinski</dc:creator>
  <cp:lastModifiedBy>Brian E. Drendel x6572 09990N</cp:lastModifiedBy>
  <cp:revision>3</cp:revision>
  <cp:lastPrinted>2012-05-02T17:48:00Z</cp:lastPrinted>
  <dcterms:created xsi:type="dcterms:W3CDTF">2012-05-04T13:32:00Z</dcterms:created>
  <dcterms:modified xsi:type="dcterms:W3CDTF">2012-05-04T15:43:00Z</dcterms:modified>
</cp:coreProperties>
</file>