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49" w:rsidRDefault="00794049">
      <w:pPr>
        <w:tabs>
          <w:tab w:val="left" w:pos="440"/>
          <w:tab w:val="left" w:pos="1160"/>
          <w:tab w:val="left" w:pos="1440"/>
          <w:tab w:val="left" w:pos="1800"/>
          <w:tab w:val="left" w:pos="2160"/>
          <w:tab w:val="left" w:pos="5760"/>
        </w:tabs>
        <w:spacing w:after="20" w:line="20" w:lineRule="atLeast"/>
        <w:ind w:left="80" w:right="-1440"/>
        <w:rPr>
          <w:rFonts w:ascii="New Century Schlbk" w:hAnsi="New Century Schlbk"/>
        </w:rPr>
      </w:pPr>
      <w:proofErr w:type="gramStart"/>
      <w:r w:rsidRPr="00D605A3">
        <w:rPr>
          <w:rFonts w:ascii="FermiLgo" w:hAnsi="FermiLgo"/>
          <w:sz w:val="120"/>
          <w:szCs w:val="120"/>
        </w:rPr>
        <w:t>f</w:t>
      </w:r>
      <w:proofErr w:type="spellStart"/>
      <w:r>
        <w:rPr>
          <w:rFonts w:ascii="New Century Schlbk" w:hAnsi="New Century Schlbk"/>
          <w:b/>
          <w:position w:val="44"/>
          <w:sz w:val="48"/>
        </w:rPr>
        <w:t>Fermilab</w:t>
      </w:r>
      <w:proofErr w:type="spellEnd"/>
      <w:proofErr w:type="gramEnd"/>
      <w:r>
        <w:rPr>
          <w:rFonts w:ascii="New Century Schlbk" w:hAnsi="New Century Schlbk"/>
          <w:b/>
          <w:position w:val="44"/>
          <w:sz w:val="48"/>
        </w:rPr>
        <w:tab/>
      </w:r>
      <w:r>
        <w:rPr>
          <w:rFonts w:ascii="New Century Schlbk" w:hAnsi="New Century Schlbk"/>
        </w:rPr>
        <w:t>Doc Number:</w:t>
      </w:r>
      <w:r>
        <w:rPr>
          <w:rFonts w:ascii="New Century Schlbk" w:hAnsi="New Century Schlbk"/>
        </w:rPr>
        <w:tab/>
      </w:r>
      <w:r w:rsidR="001734F6">
        <w:rPr>
          <w:rFonts w:ascii="New Century Schlbk" w:hAnsi="New Century Schlbk"/>
        </w:rPr>
        <w:t>Beams-doc4692</w:t>
      </w:r>
    </w:p>
    <w:p w:rsidR="00794049" w:rsidRDefault="00751DF5">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Version:</w:t>
      </w:r>
      <w:r>
        <w:rPr>
          <w:rFonts w:ascii="New Century Schlbk" w:hAnsi="New Century Schlbk"/>
        </w:rPr>
        <w:tab/>
      </w:r>
      <w:r>
        <w:rPr>
          <w:rFonts w:ascii="New Century Schlbk" w:hAnsi="New Century Schlbk"/>
        </w:rPr>
        <w:tab/>
        <w:t>1.0</w:t>
      </w:r>
      <w:bookmarkStart w:id="0" w:name="_GoBack"/>
      <w:bookmarkEnd w:id="0"/>
    </w:p>
    <w:p w:rsidR="00794049" w:rsidRDefault="00D605A3">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Type:</w:t>
      </w:r>
      <w:r>
        <w:rPr>
          <w:rFonts w:ascii="New Century Schlbk" w:hAnsi="New Century Schlbk"/>
        </w:rPr>
        <w:tab/>
      </w:r>
      <w:r>
        <w:rPr>
          <w:rFonts w:ascii="New Century Schlbk" w:hAnsi="New Century Schlbk"/>
        </w:rPr>
        <w:tab/>
      </w:r>
      <w:r w:rsidR="00971679">
        <w:rPr>
          <w:rFonts w:ascii="New Century Schlbk" w:hAnsi="New Century Schlbk"/>
        </w:rPr>
        <w:tab/>
        <w:t>Note</w:t>
      </w:r>
    </w:p>
    <w:p w:rsidR="00794049" w:rsidRDefault="00794049">
      <w:pPr>
        <w:tabs>
          <w:tab w:val="left" w:pos="440"/>
          <w:tab w:val="left" w:pos="1160"/>
          <w:tab w:val="left" w:pos="1440"/>
          <w:tab w:val="left" w:pos="1800"/>
          <w:tab w:val="left" w:pos="2160"/>
          <w:tab w:val="left" w:pos="5760"/>
        </w:tabs>
        <w:spacing w:after="240" w:line="20" w:lineRule="atLeast"/>
        <w:ind w:right="-720"/>
        <w:rPr>
          <w:rFonts w:ascii="New Century Schlbk" w:hAnsi="New Century Schlbk"/>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New Century Schlbk" w:hAnsi="New Century Schlbk"/>
          <w:b/>
          <w:position w:val="44"/>
          <w:sz w:val="48"/>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New Century Schlbk" w:hAnsi="New Century Schlbk"/>
          <w:b/>
          <w:position w:val="44"/>
          <w:sz w:val="48"/>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New Century Schlbk" w:hAnsi="New Century Schlbk"/>
          <w:b/>
          <w:position w:val="44"/>
          <w:sz w:val="48"/>
        </w:rPr>
      </w:pPr>
    </w:p>
    <w:p w:rsidR="00794049" w:rsidRDefault="00986985">
      <w:pPr>
        <w:pStyle w:val="Title"/>
      </w:pPr>
      <w:r>
        <w:rPr>
          <w:sz w:val="36"/>
        </w:rPr>
        <w:t xml:space="preserve">Loss History in Main Injector: LI619A-LI621 and LI101C-LI107 </w:t>
      </w:r>
    </w:p>
    <w:p w:rsidR="00794049" w:rsidRDefault="00794049">
      <w:pPr>
        <w:tabs>
          <w:tab w:val="left" w:pos="440"/>
          <w:tab w:val="left" w:pos="1160"/>
          <w:tab w:val="left" w:pos="1440"/>
          <w:tab w:val="left" w:pos="1800"/>
          <w:tab w:val="left" w:pos="2160"/>
          <w:tab w:val="left" w:pos="5760"/>
        </w:tabs>
        <w:spacing w:after="240" w:line="260" w:lineRule="exact"/>
        <w:jc w:val="center"/>
        <w:rPr>
          <w:rFonts w:ascii="New Century Schlbk" w:hAnsi="New Century Schlbk"/>
          <w:b/>
          <w:sz w:val="28"/>
        </w:rPr>
      </w:pPr>
    </w:p>
    <w:p w:rsidR="003D7F95" w:rsidRDefault="003D7F95">
      <w:pPr>
        <w:tabs>
          <w:tab w:val="left" w:pos="440"/>
          <w:tab w:val="left" w:pos="1160"/>
          <w:tab w:val="left" w:pos="1440"/>
          <w:tab w:val="left" w:pos="1800"/>
          <w:tab w:val="left" w:pos="2160"/>
          <w:tab w:val="left" w:pos="5760"/>
        </w:tabs>
        <w:spacing w:after="240" w:line="260" w:lineRule="exact"/>
        <w:jc w:val="center"/>
        <w:rPr>
          <w:rFonts w:ascii="Times" w:hAnsi="Times"/>
          <w:sz w:val="28"/>
        </w:rPr>
      </w:pPr>
    </w:p>
    <w:p w:rsidR="00971679" w:rsidRDefault="00971679">
      <w:pPr>
        <w:tabs>
          <w:tab w:val="left" w:pos="440"/>
          <w:tab w:val="left" w:pos="1160"/>
          <w:tab w:val="left" w:pos="1440"/>
          <w:tab w:val="left" w:pos="1800"/>
          <w:tab w:val="left" w:pos="2160"/>
          <w:tab w:val="left" w:pos="5760"/>
        </w:tabs>
        <w:spacing w:line="260" w:lineRule="exact"/>
        <w:jc w:val="center"/>
        <w:rPr>
          <w:rFonts w:ascii="Times" w:hAnsi="Times"/>
        </w:rPr>
      </w:pPr>
      <w:r>
        <w:rPr>
          <w:rFonts w:ascii="Times" w:hAnsi="Times"/>
        </w:rPr>
        <w:t>Bruce C. Brown</w:t>
      </w:r>
    </w:p>
    <w:p w:rsidR="00971679" w:rsidRDefault="00971679">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Main Injector Department</w:t>
      </w:r>
    </w:p>
    <w:p w:rsidR="00794049" w:rsidRDefault="00794049">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Fermi National Accelerator Laboratory*</w:t>
      </w:r>
    </w:p>
    <w:p w:rsidR="00794049" w:rsidRDefault="00794049">
      <w:pPr>
        <w:tabs>
          <w:tab w:val="left" w:pos="440"/>
          <w:tab w:val="left" w:pos="1160"/>
          <w:tab w:val="left" w:pos="1440"/>
          <w:tab w:val="left" w:pos="1800"/>
          <w:tab w:val="left" w:pos="2160"/>
          <w:tab w:val="left" w:pos="5760"/>
        </w:tabs>
        <w:spacing w:line="260" w:lineRule="exact"/>
        <w:jc w:val="center"/>
        <w:rPr>
          <w:rFonts w:ascii="Times" w:hAnsi="Times"/>
          <w:i/>
          <w:sz w:val="22"/>
        </w:rPr>
      </w:pPr>
      <w:smartTag w:uri="urn:schemas-microsoft-com:office:smarttags" w:element="address">
        <w:smartTag w:uri="urn:schemas-microsoft-com:office:smarttags" w:element="Street">
          <w:r>
            <w:rPr>
              <w:rFonts w:ascii="Times" w:hAnsi="Times"/>
              <w:i/>
              <w:sz w:val="22"/>
            </w:rPr>
            <w:t>P.O. Box</w:t>
          </w:r>
        </w:smartTag>
        <w:r>
          <w:rPr>
            <w:rFonts w:ascii="Times" w:hAnsi="Times"/>
            <w:i/>
            <w:sz w:val="22"/>
          </w:rPr>
          <w:t xml:space="preserve"> 500</w:t>
        </w:r>
      </w:smartTag>
    </w:p>
    <w:p w:rsidR="00794049" w:rsidRDefault="00794049">
      <w:pPr>
        <w:tabs>
          <w:tab w:val="left" w:pos="440"/>
          <w:tab w:val="left" w:pos="1160"/>
          <w:tab w:val="left" w:pos="1440"/>
          <w:tab w:val="left" w:pos="1800"/>
          <w:tab w:val="left" w:pos="2160"/>
          <w:tab w:val="left" w:pos="5760"/>
        </w:tabs>
        <w:spacing w:line="260" w:lineRule="exact"/>
        <w:jc w:val="center"/>
        <w:rPr>
          <w:rFonts w:ascii="Times" w:hAnsi="Times"/>
          <w:i/>
          <w:sz w:val="22"/>
        </w:rPr>
      </w:pPr>
      <w:smartTag w:uri="urn:schemas-microsoft-com:office:smarttags" w:element="place">
        <w:smartTag w:uri="urn:schemas-microsoft-com:office:smarttags" w:element="City">
          <w:r>
            <w:rPr>
              <w:rFonts w:ascii="Times" w:hAnsi="Times"/>
              <w:i/>
              <w:sz w:val="22"/>
            </w:rPr>
            <w:t>Batavia</w:t>
          </w:r>
        </w:smartTag>
        <w:r>
          <w:rPr>
            <w:rFonts w:ascii="Times" w:hAnsi="Times"/>
            <w:i/>
            <w:sz w:val="22"/>
          </w:rPr>
          <w:t xml:space="preserve">, </w:t>
        </w:r>
        <w:smartTag w:uri="urn:schemas-microsoft-com:office:smarttags" w:element="State">
          <w:r>
            <w:rPr>
              <w:rFonts w:ascii="Times" w:hAnsi="Times"/>
              <w:i/>
              <w:sz w:val="22"/>
            </w:rPr>
            <w:t>Illinois</w:t>
          </w:r>
        </w:smartTag>
        <w:r>
          <w:rPr>
            <w:rFonts w:ascii="Times" w:hAnsi="Times"/>
            <w:i/>
            <w:sz w:val="22"/>
          </w:rPr>
          <w:t xml:space="preserve"> </w:t>
        </w:r>
        <w:smartTag w:uri="urn:schemas-microsoft-com:office:smarttags" w:element="PostalCode">
          <w:r>
            <w:rPr>
              <w:rFonts w:ascii="Times" w:hAnsi="Times"/>
              <w:i/>
              <w:sz w:val="22"/>
            </w:rPr>
            <w:t>60510</w:t>
          </w:r>
        </w:smartTag>
      </w:smartTag>
    </w:p>
    <w:p w:rsidR="00794049" w:rsidRDefault="00794049">
      <w:pPr>
        <w:tabs>
          <w:tab w:val="left" w:pos="440"/>
          <w:tab w:val="left" w:pos="1160"/>
          <w:tab w:val="left" w:pos="1440"/>
          <w:tab w:val="left" w:pos="1800"/>
          <w:tab w:val="left" w:pos="2160"/>
          <w:tab w:val="left" w:pos="5760"/>
        </w:tabs>
        <w:spacing w:line="260" w:lineRule="exact"/>
        <w:jc w:val="center"/>
        <w:rPr>
          <w:rFonts w:ascii="Times" w:hAnsi="Times"/>
          <w:i/>
          <w:sz w:val="22"/>
        </w:rPr>
      </w:pPr>
    </w:p>
    <w:p w:rsidR="00794049" w:rsidRDefault="005E38D4">
      <w:pPr>
        <w:tabs>
          <w:tab w:val="left" w:pos="440"/>
          <w:tab w:val="left" w:pos="1160"/>
          <w:tab w:val="left" w:pos="1440"/>
          <w:tab w:val="left" w:pos="1800"/>
          <w:tab w:val="left" w:pos="2160"/>
          <w:tab w:val="left" w:pos="5760"/>
        </w:tabs>
        <w:spacing w:line="260" w:lineRule="exact"/>
        <w:jc w:val="center"/>
        <w:rPr>
          <w:rFonts w:ascii="Times" w:hAnsi="Times"/>
        </w:rPr>
      </w:pPr>
      <w:r>
        <w:rPr>
          <w:rFonts w:ascii="Times" w:hAnsi="Times"/>
        </w:rPr>
        <w:t>28</w:t>
      </w:r>
      <w:r w:rsidR="00986985">
        <w:rPr>
          <w:rFonts w:ascii="Times" w:hAnsi="Times"/>
        </w:rPr>
        <w:t xml:space="preserve"> October 2014</w:t>
      </w: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Fermi" w:hAnsi="Fermi"/>
          <w:sz w:val="96"/>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after="240" w:line="260" w:lineRule="exact"/>
        <w:ind w:right="-720"/>
        <w:jc w:val="center"/>
        <w:rPr>
          <w:rFonts w:ascii="Times" w:hAnsi="Times"/>
        </w:rPr>
      </w:pPr>
    </w:p>
    <w:p w:rsidR="00794049" w:rsidRDefault="00794049">
      <w:pPr>
        <w:tabs>
          <w:tab w:val="left" w:pos="440"/>
          <w:tab w:val="left" w:pos="1160"/>
          <w:tab w:val="left" w:pos="1440"/>
          <w:tab w:val="left" w:pos="1800"/>
          <w:tab w:val="left" w:pos="2160"/>
          <w:tab w:val="left" w:pos="5760"/>
        </w:tabs>
        <w:spacing w:line="260" w:lineRule="exact"/>
        <w:ind w:right="-720"/>
        <w:rPr>
          <w:rFonts w:ascii="Times" w:hAnsi="Times"/>
          <w:sz w:val="22"/>
        </w:rPr>
      </w:pPr>
      <w:r>
        <w:rPr>
          <w:rFonts w:ascii="Times" w:hAnsi="Times"/>
          <w:sz w:val="20"/>
        </w:rPr>
        <w:t xml:space="preserve">*Operated by the </w:t>
      </w:r>
      <w:r w:rsidR="00971679">
        <w:rPr>
          <w:rFonts w:ascii="Times" w:hAnsi="Times"/>
          <w:sz w:val="20"/>
        </w:rPr>
        <w:t xml:space="preserve">Fermi </w:t>
      </w:r>
      <w:r>
        <w:rPr>
          <w:rFonts w:ascii="Times" w:hAnsi="Times"/>
          <w:sz w:val="20"/>
        </w:rPr>
        <w:t>Research A</w:t>
      </w:r>
      <w:r w:rsidR="00971679">
        <w:rPr>
          <w:rFonts w:ascii="Times" w:hAnsi="Times"/>
          <w:sz w:val="20"/>
        </w:rPr>
        <w:t>lliance</w:t>
      </w:r>
      <w:r>
        <w:rPr>
          <w:rFonts w:ascii="Times" w:hAnsi="Times"/>
          <w:sz w:val="20"/>
        </w:rPr>
        <w:t xml:space="preserve"> under contract with the U.S. Department </w:t>
      </w:r>
      <w:r w:rsidR="00436E8E">
        <w:rPr>
          <w:rFonts w:ascii="Times" w:hAnsi="Times"/>
          <w:sz w:val="20"/>
        </w:rPr>
        <w:t>of</w:t>
      </w:r>
      <w:r>
        <w:rPr>
          <w:rFonts w:ascii="Times" w:hAnsi="Times"/>
          <w:sz w:val="20"/>
        </w:rPr>
        <w:t xml:space="preserve"> Energy</w:t>
      </w:r>
    </w:p>
    <w:p w:rsidR="00794049" w:rsidRDefault="00794049">
      <w:pPr>
        <w:pStyle w:val="Title"/>
        <w:sectPr w:rsidR="00794049">
          <w:headerReference w:type="default" r:id="rId9"/>
          <w:footerReference w:type="even" r:id="rId10"/>
          <w:footerReference w:type="default" r:id="rId11"/>
          <w:type w:val="oddPage"/>
          <w:pgSz w:w="12240" w:h="15840"/>
          <w:pgMar w:top="1440" w:right="1800" w:bottom="1440" w:left="1800" w:header="720" w:footer="720" w:gutter="0"/>
          <w:cols w:space="720"/>
        </w:sectPr>
      </w:pPr>
    </w:p>
    <w:p w:rsidR="00794049" w:rsidRDefault="00794049"/>
    <w:p w:rsidR="00986985" w:rsidRDefault="00986985" w:rsidP="00986985">
      <w:pPr>
        <w:pStyle w:val="Title"/>
      </w:pPr>
      <w:r>
        <w:rPr>
          <w:sz w:val="36"/>
        </w:rPr>
        <w:lastRenderedPageBreak/>
        <w:t xml:space="preserve">Loss History in Main Injector: LI619A-LI621 and LI101C-LI107 </w:t>
      </w:r>
    </w:p>
    <w:p w:rsidR="00971679" w:rsidRDefault="00971679">
      <w:pPr>
        <w:pStyle w:val="Title"/>
        <w:rPr>
          <w:b w:val="0"/>
          <w:i/>
          <w:sz w:val="20"/>
        </w:rPr>
      </w:pPr>
    </w:p>
    <w:p w:rsidR="00971679" w:rsidRDefault="00971679">
      <w:pPr>
        <w:pStyle w:val="Heading11"/>
      </w:pPr>
      <w:r>
        <w:t>Abstract</w:t>
      </w:r>
    </w:p>
    <w:p w:rsidR="00971679" w:rsidRDefault="00971679">
      <w:pPr>
        <w:pStyle w:val="Heading11"/>
      </w:pPr>
    </w:p>
    <w:p w:rsidR="00971679" w:rsidRDefault="00986985">
      <w:pPr>
        <w:pStyle w:val="Heading11"/>
        <w:rPr>
          <w:b w:val="0"/>
          <w:u w:val="none"/>
        </w:rPr>
      </w:pPr>
      <w:r>
        <w:rPr>
          <w:b w:val="0"/>
          <w:u w:val="none"/>
        </w:rPr>
        <w:t xml:space="preserve">Various beam instrumentation devices have been or will be installed in the Main Injector near the Main Injector and Recycler injection regions from 101 through 104 and in the 620 straight </w:t>
      </w:r>
      <w:proofErr w:type="gramStart"/>
      <w:r>
        <w:rPr>
          <w:b w:val="0"/>
          <w:u w:val="none"/>
        </w:rPr>
        <w:t>section</w:t>
      </w:r>
      <w:proofErr w:type="gramEnd"/>
      <w:r>
        <w:rPr>
          <w:b w:val="0"/>
          <w:u w:val="none"/>
        </w:rPr>
        <w:t xml:space="preserve">.  The failure of one piece of electronics has alerted us to issues of radiation damage.   Preparations are underway for documenting the radiation at locations where </w:t>
      </w:r>
      <w:r w:rsidR="00E25EB2">
        <w:rPr>
          <w:b w:val="0"/>
          <w:u w:val="none"/>
        </w:rPr>
        <w:t>electronics currently exists or where additional electronics may be placed.  Using the tools available, a summary of the Beam Loss Monitor (BLM) data for some of the loss monitors in the area is provided.  Features of these losses are dominated by various changes in the configuration of the Main Injector and Recycler so these items will be documented.</w:t>
      </w:r>
    </w:p>
    <w:p w:rsidR="00971679" w:rsidRDefault="00971679">
      <w:pPr>
        <w:pStyle w:val="Heading11"/>
      </w:pPr>
    </w:p>
    <w:p w:rsidR="00794049" w:rsidRDefault="00794049">
      <w:pPr>
        <w:pStyle w:val="Heading11"/>
      </w:pPr>
      <w:r>
        <w:t>Introduction</w:t>
      </w:r>
    </w:p>
    <w:p w:rsidR="00C64449" w:rsidRDefault="00C64449">
      <w:pPr>
        <w:pStyle w:val="Heading11"/>
      </w:pPr>
    </w:p>
    <w:p w:rsidR="00794049" w:rsidRDefault="00DE08E4">
      <w:pPr>
        <w:pStyle w:val="Text1"/>
      </w:pPr>
      <w:r>
        <w:t xml:space="preserve">We have activation and radiation damage concerns for existing and new beam instrumentation for the Main Injector and Recycler.  Since we document the BLM readings on every machine cycle, we have a good record of the history of radiation in the areas of interest.  Of course, the installation of new devices and the removal of old ones will require analysis and interpretation of the data.  We expect to make measurements with Al Tag activation which requires 3 to 7 </w:t>
      </w:r>
      <w:proofErr w:type="spellStart"/>
      <w:r>
        <w:t>kRad</w:t>
      </w:r>
      <w:proofErr w:type="spellEnd"/>
      <w:r>
        <w:t xml:space="preserve"> of exposure and perhaps with some more sensitive techniques so an overview of the area radiation is appropriate.</w:t>
      </w:r>
    </w:p>
    <w:p w:rsidR="00C64449" w:rsidRDefault="00C64449">
      <w:pPr>
        <w:pStyle w:val="Text1"/>
      </w:pPr>
    </w:p>
    <w:p w:rsidR="00794049" w:rsidRDefault="000C2AD4">
      <w:pPr>
        <w:pStyle w:val="Heading11"/>
      </w:pPr>
      <w:r>
        <w:t>Measurements</w:t>
      </w:r>
    </w:p>
    <w:p w:rsidR="0003570D" w:rsidRDefault="00794049">
      <w:pPr>
        <w:pStyle w:val="Text10"/>
      </w:pPr>
      <w:r>
        <w:tab/>
      </w:r>
    </w:p>
    <w:p w:rsidR="000C2AD4" w:rsidRDefault="000C2AD4">
      <w:pPr>
        <w:pStyle w:val="Text10"/>
      </w:pPr>
      <w:r>
        <w:t xml:space="preserve">There is a Beam Loss Monitor located just </w:t>
      </w:r>
      <w:proofErr w:type="spellStart"/>
      <w:r>
        <w:t>downsteam</w:t>
      </w:r>
      <w:proofErr w:type="spellEnd"/>
      <w:r>
        <w:t xml:space="preserve"> and above the </w:t>
      </w:r>
      <w:proofErr w:type="spellStart"/>
      <w:r>
        <w:t>quadrupoles</w:t>
      </w:r>
      <w:proofErr w:type="spellEnd"/>
      <w:r>
        <w:t xml:space="preserve"> in each Main Injector </w:t>
      </w:r>
      <w:proofErr w:type="spellStart"/>
      <w:r>
        <w:t>half cell</w:t>
      </w:r>
      <w:proofErr w:type="spellEnd"/>
      <w:r>
        <w:t xml:space="preserve">.  Additional loss monitors are installed near transfer locations.  Using the electronics system installed in 2006, we record the loss sum (in </w:t>
      </w:r>
      <w:proofErr w:type="spellStart"/>
      <w:r>
        <w:t>Rads</w:t>
      </w:r>
      <w:proofErr w:type="spellEnd"/>
      <w:r>
        <w:t xml:space="preserve">) for each BLM on each Main Injector cycle into the D43/D44 </w:t>
      </w:r>
      <w:proofErr w:type="spellStart"/>
      <w:r>
        <w:t>datalogger</w:t>
      </w:r>
      <w:proofErr w:type="spellEnd"/>
      <w:r>
        <w:t xml:space="preserve"> system.  For this analysis, we employ the data summary features of I130 (</w:t>
      </w:r>
      <w:r w:rsidRPr="000C2AD4">
        <w:t>pa4178</w:t>
      </w:r>
      <w:r>
        <w:t xml:space="preserve">).  This program sums the losses in QD sums and weights the sums for various decay </w:t>
      </w:r>
      <w:proofErr w:type="spellStart"/>
      <w:r>
        <w:t>half life</w:t>
      </w:r>
      <w:proofErr w:type="spellEnd"/>
      <w:r>
        <w:t xml:space="preserve"> values.  We will use the QD results averaged for weekly intervals and reported in Rad/sec</w:t>
      </w:r>
      <w:r w:rsidR="00251529">
        <w:t>.  This is in lieu of em</w:t>
      </w:r>
      <w:r w:rsidR="004312DB">
        <w:t>p</w:t>
      </w:r>
      <w:r w:rsidR="00251529">
        <w:t xml:space="preserve">loying D44 directly as we have experienced the deleterious </w:t>
      </w:r>
      <w:proofErr w:type="gramStart"/>
      <w:r w:rsidR="00251529">
        <w:t>effects</w:t>
      </w:r>
      <w:proofErr w:type="gramEnd"/>
      <w:r w:rsidR="00251529">
        <w:t xml:space="preserve"> of various data anomalies such as a long series of high values during a shutdown.  I130 has cleaned up this data and we believe we can take it as well measured.  Using the output files from I130 we have populated worksheets for each loss monitor considered in the Spreadsheet </w:t>
      </w:r>
      <w:proofErr w:type="spellStart"/>
      <w:r w:rsidR="00251529">
        <w:t>LossAtInstrSt</w:t>
      </w:r>
      <w:r w:rsidR="004312DB">
        <w:t>uff.xlxs</w:t>
      </w:r>
      <w:proofErr w:type="spellEnd"/>
      <w:r w:rsidR="004312DB">
        <w:t xml:space="preserve"> (included in this Beam-</w:t>
      </w:r>
      <w:r w:rsidR="00251529">
        <w:t xml:space="preserve">doc).  In addition to the data worksheets, we have included a Plots worksheet where each loss monitor is plotted vs. weeks since October 16, 2006 using the default scale (which shows all the data) and for some cases, an expanded scale to emphasize the more recent lower loss rate.   The Notes worksheet has some tables which summarize the loss rate (average </w:t>
      </w:r>
      <w:proofErr w:type="spellStart"/>
      <w:r w:rsidR="00251529">
        <w:t>Rads</w:t>
      </w:r>
      <w:proofErr w:type="spellEnd"/>
      <w:r w:rsidR="00251529">
        <w:t>/sec) and loss sum (</w:t>
      </w:r>
      <w:proofErr w:type="spellStart"/>
      <w:r w:rsidR="00251529">
        <w:t>Rads</w:t>
      </w:r>
      <w:proofErr w:type="spellEnd"/>
      <w:r w:rsidR="00251529">
        <w:t xml:space="preserve">) for several time ranges of interest. </w:t>
      </w:r>
      <w:r w:rsidR="005835AA">
        <w:t>Plots for the average rates are included here.</w:t>
      </w:r>
    </w:p>
    <w:p w:rsidR="005835AA" w:rsidRDefault="005835AA" w:rsidP="005835AA">
      <w:pPr>
        <w:pStyle w:val="Heading11"/>
      </w:pPr>
    </w:p>
    <w:p w:rsidR="005835AA" w:rsidRDefault="005835AA" w:rsidP="005835AA">
      <w:pPr>
        <w:pStyle w:val="Heading11"/>
      </w:pPr>
      <w:r>
        <w:t>Remarks and Analysis</w:t>
      </w:r>
    </w:p>
    <w:p w:rsidR="005835AA" w:rsidRDefault="005835AA" w:rsidP="005835AA">
      <w:pPr>
        <w:pStyle w:val="Heading11"/>
      </w:pPr>
    </w:p>
    <w:p w:rsidR="005835AA" w:rsidRDefault="005835AA" w:rsidP="005835AA">
      <w:pPr>
        <w:pStyle w:val="Heading11"/>
        <w:jc w:val="both"/>
        <w:rPr>
          <w:b w:val="0"/>
          <w:u w:val="none"/>
        </w:rPr>
      </w:pPr>
      <w:r w:rsidRPr="005835AA">
        <w:rPr>
          <w:b w:val="0"/>
          <w:u w:val="none"/>
        </w:rPr>
        <w:t xml:space="preserve">In part, this </w:t>
      </w:r>
      <w:r>
        <w:rPr>
          <w:b w:val="0"/>
          <w:u w:val="none"/>
        </w:rPr>
        <w:t xml:space="preserve">effort will guide the placement and removal of Al Tags for activation studies.  We need to understand how long we should leave </w:t>
      </w:r>
      <w:r w:rsidR="00954E7F">
        <w:rPr>
          <w:b w:val="0"/>
          <w:u w:val="none"/>
        </w:rPr>
        <w:t>tags to o</w:t>
      </w:r>
      <w:r w:rsidR="004312DB">
        <w:rPr>
          <w:b w:val="0"/>
          <w:u w:val="none"/>
        </w:rPr>
        <w:t>btain a useful measurement</w:t>
      </w:r>
      <w:r w:rsidR="00954E7F">
        <w:rPr>
          <w:b w:val="0"/>
          <w:u w:val="none"/>
        </w:rPr>
        <w:t xml:space="preserve">.  </w:t>
      </w:r>
      <w:proofErr w:type="spellStart"/>
      <w:r w:rsidR="00954E7F">
        <w:rPr>
          <w:b w:val="0"/>
          <w:u w:val="none"/>
        </w:rPr>
        <w:t>Fluences</w:t>
      </w:r>
      <w:proofErr w:type="spellEnd"/>
      <w:r w:rsidR="00954E7F">
        <w:rPr>
          <w:b w:val="0"/>
          <w:u w:val="none"/>
        </w:rPr>
        <w:t xml:space="preserve"> from 3 - 7 </w:t>
      </w:r>
      <w:proofErr w:type="spellStart"/>
      <w:r w:rsidR="00954E7F">
        <w:rPr>
          <w:b w:val="0"/>
          <w:u w:val="none"/>
        </w:rPr>
        <w:t>kRad</w:t>
      </w:r>
      <w:proofErr w:type="spellEnd"/>
      <w:r w:rsidR="00954E7F">
        <w:rPr>
          <w:b w:val="0"/>
          <w:u w:val="none"/>
        </w:rPr>
        <w:t xml:space="preserve"> produce sufficient activation for our analysis system.  We see that for operation in the Recycler Proton Stacking era we have accumulated 3 </w:t>
      </w:r>
      <w:proofErr w:type="spellStart"/>
      <w:r w:rsidR="00954E7F">
        <w:rPr>
          <w:b w:val="0"/>
          <w:u w:val="none"/>
        </w:rPr>
        <w:t>kRad</w:t>
      </w:r>
      <w:proofErr w:type="spellEnd"/>
      <w:r w:rsidR="00954E7F">
        <w:rPr>
          <w:b w:val="0"/>
          <w:u w:val="none"/>
        </w:rPr>
        <w:t xml:space="preserve"> or more in the year from 8/1/2013 through 8/1/2014 only at 621, 102B, 103 and 104.  At other loss monitors, we will accumulate activation more slowly.  However, other locations of interest </w:t>
      </w:r>
      <w:r w:rsidR="004312DB">
        <w:rPr>
          <w:b w:val="0"/>
          <w:u w:val="none"/>
        </w:rPr>
        <w:lastRenderedPageBreak/>
        <w:t>includ</w:t>
      </w:r>
      <w:r w:rsidR="00954E7F">
        <w:rPr>
          <w:b w:val="0"/>
          <w:u w:val="none"/>
        </w:rPr>
        <w:t>ing the present locations of IPM detectors and IPM amplifiers may well have higher doses than the nearby loss monitors.</w:t>
      </w:r>
      <w:r w:rsidR="00740605">
        <w:rPr>
          <w:b w:val="0"/>
          <w:u w:val="none"/>
        </w:rPr>
        <w:t xml:space="preserve">  While we plan </w:t>
      </w:r>
      <w:r w:rsidR="00AA3F38">
        <w:rPr>
          <w:b w:val="0"/>
          <w:u w:val="none"/>
        </w:rPr>
        <w:t>to employ more sensitive measurements in future, placing tags now will allow us to gather important data.</w:t>
      </w:r>
    </w:p>
    <w:p w:rsidR="0097344C" w:rsidRDefault="0097344C" w:rsidP="005835AA">
      <w:pPr>
        <w:pStyle w:val="Heading11"/>
        <w:jc w:val="both"/>
        <w:rPr>
          <w:b w:val="0"/>
          <w:u w:val="none"/>
        </w:rPr>
      </w:pPr>
    </w:p>
    <w:p w:rsidR="0097344C" w:rsidRDefault="0097344C" w:rsidP="005835AA">
      <w:pPr>
        <w:pStyle w:val="Heading11"/>
        <w:jc w:val="both"/>
        <w:rPr>
          <w:b w:val="0"/>
          <w:u w:val="none"/>
        </w:rPr>
      </w:pPr>
      <w:r>
        <w:rPr>
          <w:b w:val="0"/>
          <w:u w:val="none"/>
        </w:rPr>
        <w:t xml:space="preserve">This </w:t>
      </w:r>
      <w:r w:rsidR="0047525A">
        <w:rPr>
          <w:b w:val="0"/>
          <w:u w:val="none"/>
        </w:rPr>
        <w:t xml:space="preserve">document </w:t>
      </w:r>
      <w:r>
        <w:rPr>
          <w:b w:val="0"/>
          <w:u w:val="none"/>
        </w:rPr>
        <w:t>should be read in conjunction with the accompanying spreadsheet where data is available for each BLM as well as plots and summary tables.  Figures 1 and 2 provide some overview.</w:t>
      </w:r>
    </w:p>
    <w:p w:rsidR="0041035A" w:rsidRDefault="0041035A" w:rsidP="005835AA">
      <w:pPr>
        <w:pStyle w:val="Heading11"/>
        <w:jc w:val="both"/>
        <w:rPr>
          <w:b w:val="0"/>
          <w:u w:val="none"/>
        </w:rPr>
      </w:pPr>
    </w:p>
    <w:p w:rsidR="0041035A" w:rsidRDefault="0041035A" w:rsidP="005835AA">
      <w:pPr>
        <w:pStyle w:val="Heading11"/>
        <w:jc w:val="both"/>
        <w:rPr>
          <w:b w:val="0"/>
          <w:u w:val="none"/>
        </w:rPr>
      </w:pPr>
      <w:r>
        <w:rPr>
          <w:noProof/>
        </w:rPr>
        <w:drawing>
          <wp:inline distT="0" distB="0" distL="0" distR="0" wp14:anchorId="3426662D" wp14:editId="3D70258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035A" w:rsidRDefault="0041035A" w:rsidP="005835AA">
      <w:pPr>
        <w:pStyle w:val="Heading11"/>
        <w:jc w:val="both"/>
        <w:rPr>
          <w:b w:val="0"/>
          <w:u w:val="none"/>
        </w:rPr>
      </w:pPr>
    </w:p>
    <w:p w:rsidR="0041035A" w:rsidRDefault="0041035A" w:rsidP="005835AA">
      <w:pPr>
        <w:pStyle w:val="Heading11"/>
        <w:jc w:val="both"/>
        <w:rPr>
          <w:b w:val="0"/>
          <w:u w:val="none"/>
        </w:rPr>
      </w:pPr>
      <w:proofErr w:type="gramStart"/>
      <w:r>
        <w:rPr>
          <w:b w:val="0"/>
          <w:u w:val="none"/>
        </w:rPr>
        <w:t>Figure 1.</w:t>
      </w:r>
      <w:proofErr w:type="gramEnd"/>
      <w:r>
        <w:rPr>
          <w:b w:val="0"/>
          <w:u w:val="none"/>
        </w:rPr>
        <w:t xml:space="preserve">  </w:t>
      </w:r>
      <w:proofErr w:type="gramStart"/>
      <w:r>
        <w:rPr>
          <w:b w:val="0"/>
          <w:u w:val="none"/>
        </w:rPr>
        <w:t>Average BLM reading in various time periods in MI Injection Area.</w:t>
      </w:r>
      <w:proofErr w:type="gramEnd"/>
    </w:p>
    <w:p w:rsidR="0041035A" w:rsidRDefault="0041035A" w:rsidP="005835AA">
      <w:pPr>
        <w:pStyle w:val="Heading11"/>
        <w:jc w:val="both"/>
        <w:rPr>
          <w:b w:val="0"/>
          <w:u w:val="none"/>
        </w:rPr>
      </w:pPr>
      <w:r>
        <w:rPr>
          <w:b w:val="0"/>
          <w:u w:val="none"/>
        </w:rPr>
        <w:t>See Spreadsheet for time interval description.</w:t>
      </w:r>
    </w:p>
    <w:p w:rsidR="0041035A" w:rsidRDefault="0041035A" w:rsidP="005835AA">
      <w:pPr>
        <w:pStyle w:val="Heading11"/>
        <w:jc w:val="both"/>
        <w:rPr>
          <w:b w:val="0"/>
          <w:u w:val="none"/>
        </w:rPr>
      </w:pPr>
    </w:p>
    <w:p w:rsidR="0041035A" w:rsidRDefault="0041035A" w:rsidP="005835AA">
      <w:pPr>
        <w:pStyle w:val="Heading11"/>
        <w:jc w:val="both"/>
        <w:rPr>
          <w:b w:val="0"/>
          <w:u w:val="none"/>
        </w:rPr>
      </w:pPr>
      <w:r>
        <w:rPr>
          <w:noProof/>
        </w:rPr>
        <w:drawing>
          <wp:inline distT="0" distB="0" distL="0" distR="0" wp14:anchorId="3B0BE57E" wp14:editId="2C05C70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34AC" w:rsidRDefault="000E34AC" w:rsidP="005835AA">
      <w:pPr>
        <w:pStyle w:val="Heading11"/>
        <w:jc w:val="both"/>
        <w:rPr>
          <w:b w:val="0"/>
          <w:u w:val="none"/>
        </w:rPr>
      </w:pPr>
    </w:p>
    <w:p w:rsidR="0041035A" w:rsidRDefault="0041035A" w:rsidP="0041035A">
      <w:pPr>
        <w:pStyle w:val="Heading11"/>
        <w:jc w:val="both"/>
        <w:rPr>
          <w:b w:val="0"/>
          <w:u w:val="none"/>
        </w:rPr>
      </w:pPr>
      <w:proofErr w:type="gramStart"/>
      <w:r>
        <w:rPr>
          <w:b w:val="0"/>
          <w:u w:val="none"/>
        </w:rPr>
        <w:t>Figure 2.</w:t>
      </w:r>
      <w:proofErr w:type="gramEnd"/>
      <w:r>
        <w:rPr>
          <w:b w:val="0"/>
          <w:u w:val="none"/>
        </w:rPr>
        <w:t xml:space="preserve">  </w:t>
      </w:r>
      <w:proofErr w:type="gramStart"/>
      <w:r>
        <w:rPr>
          <w:b w:val="0"/>
          <w:u w:val="none"/>
        </w:rPr>
        <w:t>Average BLM reading in various time periods in MI620 Region.</w:t>
      </w:r>
      <w:proofErr w:type="gramEnd"/>
    </w:p>
    <w:p w:rsidR="0041035A" w:rsidRDefault="0041035A" w:rsidP="0041035A">
      <w:pPr>
        <w:pStyle w:val="Heading11"/>
        <w:jc w:val="both"/>
        <w:rPr>
          <w:b w:val="0"/>
          <w:u w:val="none"/>
        </w:rPr>
      </w:pPr>
      <w:r>
        <w:rPr>
          <w:b w:val="0"/>
          <w:u w:val="none"/>
        </w:rPr>
        <w:t>See Spreadsheet for time interval description.</w:t>
      </w:r>
    </w:p>
    <w:p w:rsidR="0041035A" w:rsidRDefault="0041035A" w:rsidP="005835AA">
      <w:pPr>
        <w:pStyle w:val="Heading11"/>
        <w:jc w:val="both"/>
        <w:rPr>
          <w:b w:val="0"/>
          <w:u w:val="none"/>
        </w:rPr>
      </w:pPr>
    </w:p>
    <w:p w:rsidR="0041035A" w:rsidRDefault="0041035A" w:rsidP="005835AA">
      <w:pPr>
        <w:pStyle w:val="Heading11"/>
        <w:jc w:val="both"/>
        <w:rPr>
          <w:b w:val="0"/>
          <w:u w:val="none"/>
        </w:rPr>
      </w:pPr>
    </w:p>
    <w:p w:rsidR="001525A0" w:rsidRDefault="000E34AC" w:rsidP="001525A0">
      <w:pPr>
        <w:pStyle w:val="Heading11"/>
        <w:jc w:val="both"/>
        <w:rPr>
          <w:b w:val="0"/>
          <w:u w:val="none"/>
        </w:rPr>
      </w:pPr>
      <w:r>
        <w:rPr>
          <w:b w:val="0"/>
          <w:u w:val="none"/>
        </w:rPr>
        <w:lastRenderedPageBreak/>
        <w:t xml:space="preserve">The specific dates can be found on the worksheets for each loss monitor.  Significant modifications in the Main Injector configuration or operation are listed in spreadsheet </w:t>
      </w:r>
      <w:proofErr w:type="spellStart"/>
      <w:r>
        <w:rPr>
          <w:b w:val="0"/>
          <w:u w:val="none"/>
        </w:rPr>
        <w:t>MIColNlossTimeLine</w:t>
      </w:r>
      <w:proofErr w:type="spellEnd"/>
      <w:r>
        <w:rPr>
          <w:b w:val="0"/>
          <w:u w:val="none"/>
        </w:rPr>
        <w:t xml:space="preserve">.  A few comments are appropriate.  The operation after the 2012-13 </w:t>
      </w:r>
      <w:proofErr w:type="gramStart"/>
      <w:r>
        <w:rPr>
          <w:b w:val="0"/>
          <w:u w:val="none"/>
        </w:rPr>
        <w:t>shutdown</w:t>
      </w:r>
      <w:proofErr w:type="gramEnd"/>
      <w:r>
        <w:rPr>
          <w:b w:val="0"/>
          <w:u w:val="none"/>
        </w:rPr>
        <w:t xml:space="preserve"> begins in week 360 - 15 July 2013. The following are directed to comment on the plots for each loss monitor:</w:t>
      </w:r>
    </w:p>
    <w:p w:rsidR="001525A0" w:rsidRDefault="001525A0" w:rsidP="001525A0">
      <w:pPr>
        <w:pStyle w:val="Heading11"/>
        <w:jc w:val="both"/>
        <w:rPr>
          <w:b w:val="0"/>
          <w:u w:val="none"/>
        </w:rPr>
      </w:pPr>
    </w:p>
    <w:p w:rsidR="001525A0" w:rsidRPr="001525A0" w:rsidRDefault="001525A0" w:rsidP="001525A0">
      <w:pPr>
        <w:pStyle w:val="Heading11"/>
        <w:jc w:val="both"/>
        <w:rPr>
          <w:u w:val="none"/>
        </w:rPr>
      </w:pPr>
      <w:r w:rsidRPr="001525A0">
        <w:t>MI101 - MI107</w:t>
      </w:r>
    </w:p>
    <w:p w:rsidR="000E34AC" w:rsidRDefault="000E34AC" w:rsidP="005835AA">
      <w:pPr>
        <w:pStyle w:val="Heading11"/>
        <w:jc w:val="both"/>
        <w:rPr>
          <w:b w:val="0"/>
          <w:u w:val="none"/>
        </w:rPr>
      </w:pPr>
    </w:p>
    <w:p w:rsidR="000E34AC" w:rsidRPr="005835AA" w:rsidRDefault="000E34AC" w:rsidP="005835AA">
      <w:pPr>
        <w:pStyle w:val="Heading11"/>
        <w:jc w:val="both"/>
        <w:rPr>
          <w:b w:val="0"/>
          <w:u w:val="none"/>
        </w:rPr>
      </w:pPr>
      <w:r>
        <w:rPr>
          <w:b w:val="0"/>
          <w:u w:val="none"/>
        </w:rPr>
        <w:t xml:space="preserve">LI101C - Losses varied </w:t>
      </w:r>
      <w:proofErr w:type="gramStart"/>
      <w:r>
        <w:rPr>
          <w:b w:val="0"/>
          <w:u w:val="none"/>
        </w:rPr>
        <w:t>In</w:t>
      </w:r>
      <w:proofErr w:type="gramEnd"/>
      <w:r>
        <w:rPr>
          <w:b w:val="0"/>
          <w:u w:val="none"/>
        </w:rPr>
        <w:t xml:space="preserve"> the 2006 - 2012 running with tuning of the injection from MI8 line.  1581 </w:t>
      </w:r>
      <w:proofErr w:type="spellStart"/>
      <w:r>
        <w:rPr>
          <w:b w:val="0"/>
          <w:u w:val="none"/>
        </w:rPr>
        <w:t>rads</w:t>
      </w:r>
      <w:proofErr w:type="spellEnd"/>
      <w:r>
        <w:rPr>
          <w:b w:val="0"/>
          <w:u w:val="none"/>
        </w:rPr>
        <w:t xml:space="preserve"> were accumulated from 1 August 2013 thru 1 August 2014.</w:t>
      </w:r>
    </w:p>
    <w:p w:rsidR="005835AA" w:rsidRDefault="005835AA">
      <w:pPr>
        <w:pStyle w:val="Text10"/>
      </w:pPr>
    </w:p>
    <w:p w:rsidR="0041035A" w:rsidRDefault="000E34AC">
      <w:pPr>
        <w:pStyle w:val="Text10"/>
      </w:pPr>
      <w:proofErr w:type="gramStart"/>
      <w:r>
        <w:t>LI102B (loss monitor at usual location downstream of Q102 on wall).</w:t>
      </w:r>
      <w:proofErr w:type="gramEnd"/>
      <w:r w:rsidR="001525A0">
        <w:t xml:space="preserve">   Loss was low until startup in </w:t>
      </w:r>
      <w:r w:rsidR="0041035A">
        <w:t>Week 353 (</w:t>
      </w:r>
      <w:r w:rsidR="001525A0">
        <w:t>July 2013</w:t>
      </w:r>
      <w:r w:rsidR="0041035A">
        <w:t>)</w:t>
      </w:r>
      <w:r w:rsidR="001525A0">
        <w:t xml:space="preserve"> when we started h</w:t>
      </w:r>
      <w:r w:rsidR="0041035A">
        <w:t>aving loss at RR injection (LAM102</w:t>
      </w:r>
      <w:r w:rsidR="001525A0">
        <w:t xml:space="preserve"> aperture issue).</w:t>
      </w:r>
      <w:r w:rsidR="0041035A">
        <w:t xml:space="preserve">  </w:t>
      </w:r>
      <w:proofErr w:type="gramStart"/>
      <w:r w:rsidR="0041035A">
        <w:t>May be improved by alignment during 2014 shutdown.</w:t>
      </w:r>
      <w:proofErr w:type="gramEnd"/>
    </w:p>
    <w:p w:rsidR="004D3205" w:rsidRDefault="004D3205">
      <w:pPr>
        <w:pStyle w:val="Text10"/>
      </w:pPr>
    </w:p>
    <w:p w:rsidR="004D3205" w:rsidRDefault="004D3205">
      <w:pPr>
        <w:pStyle w:val="Text10"/>
      </w:pPr>
      <w:r>
        <w:t xml:space="preserve">Injection Gap Losses </w:t>
      </w:r>
      <w:r w:rsidR="0041035A">
        <w:t xml:space="preserve">in 103 - 106 </w:t>
      </w:r>
      <w:r>
        <w:t>grow with slip stacking intensities.  Commissioning of Gap Clearing Kickers after 2010 shutdown eliminate</w:t>
      </w:r>
      <w:r w:rsidR="0041035A">
        <w:t>d</w:t>
      </w:r>
      <w:r>
        <w:t xml:space="preserve"> this loss in 103 - 106 area.  Very little </w:t>
      </w:r>
      <w:r w:rsidR="0041035A">
        <w:t>loss</w:t>
      </w:r>
      <w:r>
        <w:t xml:space="preserve"> got to 107.</w:t>
      </w:r>
    </w:p>
    <w:p w:rsidR="004D3205" w:rsidRDefault="004D3205">
      <w:pPr>
        <w:pStyle w:val="Text10"/>
      </w:pPr>
    </w:p>
    <w:p w:rsidR="004D3205" w:rsidRDefault="00C11DDF">
      <w:pPr>
        <w:pStyle w:val="Text10"/>
      </w:pPr>
      <w:r>
        <w:t>LI103 - Gap loss quite noticeable until commissioning of the Gap Clearing Kickers in week 200 (January 2011).  They rise again as we turn on in Week 353 (July 2013).  This is mix of MI and RR injection issues.</w:t>
      </w:r>
    </w:p>
    <w:p w:rsidR="00C11DDF" w:rsidRDefault="00C11DDF">
      <w:pPr>
        <w:pStyle w:val="Text10"/>
      </w:pPr>
    </w:p>
    <w:p w:rsidR="00C11DDF" w:rsidRDefault="00C11DDF">
      <w:pPr>
        <w:pStyle w:val="Text10"/>
      </w:pPr>
      <w:r>
        <w:t xml:space="preserve">LI104 - </w:t>
      </w:r>
      <w:r w:rsidR="0058347C">
        <w:t>Gap loss quite noticeable until commissioning of the Gap Clearing Kickers in week 200 (January 2011).  Little loss here in 2013-14 era - lower by x5.</w:t>
      </w:r>
    </w:p>
    <w:p w:rsidR="0058347C" w:rsidRDefault="0058347C">
      <w:pPr>
        <w:pStyle w:val="Text10"/>
      </w:pPr>
    </w:p>
    <w:p w:rsidR="00C11DDF" w:rsidRDefault="00C11DDF">
      <w:pPr>
        <w:pStyle w:val="Text10"/>
      </w:pPr>
      <w:r>
        <w:t xml:space="preserve">LI105 - Gap loss drop at about week 25 (April 2007) as we commission the MI Collimators but then remain unacceptable until commissioning of the Gap Clearing Kickers in week 200 (January 2011).  </w:t>
      </w:r>
      <w:r w:rsidR="0058347C">
        <w:t>Little loss here in 2013-14 era - lower by x10.</w:t>
      </w:r>
    </w:p>
    <w:p w:rsidR="0058347C" w:rsidRDefault="0058347C">
      <w:pPr>
        <w:pStyle w:val="Text10"/>
      </w:pPr>
    </w:p>
    <w:p w:rsidR="0058347C" w:rsidRDefault="0058347C">
      <w:pPr>
        <w:pStyle w:val="Text10"/>
      </w:pPr>
      <w:r>
        <w:t>LI106 - Gap loss drop</w:t>
      </w:r>
      <w:r w:rsidR="0041035A">
        <w:t>s</w:t>
      </w:r>
      <w:r>
        <w:t xml:space="preserve"> at about week 25 (April 2007) as we commission the MI Collimators but then remain unacceptable until commissioning of the Gap Clearing Kickers in week 200 (January 2011).  </w:t>
      </w:r>
      <w:proofErr w:type="gramStart"/>
      <w:r>
        <w:t>Little loss here in 2013-14 era but more variable.</w:t>
      </w:r>
      <w:proofErr w:type="gramEnd"/>
    </w:p>
    <w:p w:rsidR="0058347C" w:rsidRDefault="0058347C">
      <w:pPr>
        <w:pStyle w:val="Text10"/>
      </w:pPr>
    </w:p>
    <w:p w:rsidR="0058347C" w:rsidRDefault="0058347C">
      <w:pPr>
        <w:pStyle w:val="Text10"/>
      </w:pPr>
      <w:r>
        <w:t xml:space="preserve">LI107 - Saw very little loss from Gap.   </w:t>
      </w:r>
      <w:proofErr w:type="gramStart"/>
      <w:r>
        <w:t>Still low in 2013-14.</w:t>
      </w:r>
      <w:proofErr w:type="gramEnd"/>
    </w:p>
    <w:p w:rsidR="0058347C" w:rsidRDefault="0058347C">
      <w:pPr>
        <w:pStyle w:val="Text10"/>
      </w:pPr>
    </w:p>
    <w:p w:rsidR="001525A0" w:rsidRDefault="001525A0" w:rsidP="001525A0">
      <w:pPr>
        <w:pStyle w:val="Heading11"/>
        <w:jc w:val="both"/>
      </w:pPr>
      <w:r>
        <w:t>MI619 - MI621</w:t>
      </w:r>
    </w:p>
    <w:p w:rsidR="001525A0" w:rsidRDefault="001525A0" w:rsidP="001525A0">
      <w:pPr>
        <w:pStyle w:val="Heading11"/>
        <w:jc w:val="both"/>
      </w:pPr>
    </w:p>
    <w:p w:rsidR="001525A0" w:rsidRDefault="001525A0" w:rsidP="001525A0">
      <w:pPr>
        <w:pStyle w:val="Heading11"/>
        <w:jc w:val="both"/>
        <w:rPr>
          <w:b w:val="0"/>
          <w:u w:val="none"/>
        </w:rPr>
      </w:pPr>
      <w:r w:rsidRPr="001525A0">
        <w:rPr>
          <w:b w:val="0"/>
          <w:u w:val="none"/>
        </w:rPr>
        <w:t>LI61</w:t>
      </w:r>
      <w:r>
        <w:rPr>
          <w:b w:val="0"/>
          <w:u w:val="none"/>
        </w:rPr>
        <w:t>9A - This location has always shown very little loss.</w:t>
      </w:r>
    </w:p>
    <w:p w:rsidR="001525A0" w:rsidRPr="001525A0" w:rsidRDefault="00664135" w:rsidP="00664135">
      <w:pPr>
        <w:pStyle w:val="Heading11"/>
        <w:spacing w:before="240"/>
        <w:jc w:val="both"/>
        <w:rPr>
          <w:b w:val="0"/>
          <w:u w:val="none"/>
        </w:rPr>
      </w:pPr>
      <w:r>
        <w:rPr>
          <w:b w:val="0"/>
          <w:u w:val="none"/>
        </w:rPr>
        <w:t>LI620A, B, C</w:t>
      </w:r>
      <w:r w:rsidR="001525A0">
        <w:rPr>
          <w:b w:val="0"/>
          <w:u w:val="none"/>
        </w:rPr>
        <w:t xml:space="preserve"> </w:t>
      </w:r>
      <w:r>
        <w:rPr>
          <w:b w:val="0"/>
          <w:u w:val="none"/>
        </w:rPr>
        <w:t>-</w:t>
      </w:r>
      <w:r w:rsidR="001525A0">
        <w:rPr>
          <w:b w:val="0"/>
          <w:u w:val="none"/>
        </w:rPr>
        <w:t xml:space="preserve"> Loss at 620 </w:t>
      </w:r>
      <w:proofErr w:type="spellStart"/>
      <w:r w:rsidR="001525A0">
        <w:rPr>
          <w:b w:val="0"/>
          <w:u w:val="none"/>
        </w:rPr>
        <w:t>Lambertson</w:t>
      </w:r>
      <w:r>
        <w:rPr>
          <w:b w:val="0"/>
          <w:u w:val="none"/>
        </w:rPr>
        <w:t>s</w:t>
      </w:r>
      <w:proofErr w:type="spellEnd"/>
      <w:r w:rsidR="001525A0">
        <w:rPr>
          <w:b w:val="0"/>
          <w:u w:val="none"/>
        </w:rPr>
        <w:t xml:space="preserve"> reflected issues with slip stack loss which didn't get fully addressed until the vertical collimation orbit fix in July 2008</w:t>
      </w:r>
      <w:r>
        <w:rPr>
          <w:b w:val="0"/>
          <w:u w:val="none"/>
        </w:rPr>
        <w:t>.  The steady progress in collimation performance is most obvious by looking at the average loss for various periods as shown in the table (</w:t>
      </w:r>
      <w:r w:rsidRPr="00664135">
        <w:rPr>
          <w:b w:val="0"/>
          <w:u w:val="none"/>
        </w:rPr>
        <w:t xml:space="preserve">Average </w:t>
      </w:r>
      <w:proofErr w:type="spellStart"/>
      <w:r w:rsidRPr="00664135">
        <w:rPr>
          <w:b w:val="0"/>
          <w:u w:val="none"/>
        </w:rPr>
        <w:t>Radiaion</w:t>
      </w:r>
      <w:proofErr w:type="spellEnd"/>
      <w:r w:rsidRPr="00664135">
        <w:rPr>
          <w:b w:val="0"/>
          <w:u w:val="none"/>
        </w:rPr>
        <w:t xml:space="preserve"> at Selected Loss Monitor (</w:t>
      </w:r>
      <w:proofErr w:type="spellStart"/>
      <w:r w:rsidRPr="00664135">
        <w:rPr>
          <w:b w:val="0"/>
          <w:u w:val="none"/>
        </w:rPr>
        <w:t>Rads</w:t>
      </w:r>
      <w:proofErr w:type="spellEnd"/>
      <w:r w:rsidRPr="00664135">
        <w:rPr>
          <w:b w:val="0"/>
          <w:u w:val="none"/>
        </w:rPr>
        <w:t>/sec</w:t>
      </w:r>
      <w:proofErr w:type="gramStart"/>
      <w:r w:rsidRPr="00664135">
        <w:rPr>
          <w:b w:val="0"/>
          <w:u w:val="none"/>
        </w:rPr>
        <w:t>)</w:t>
      </w:r>
      <w:r>
        <w:rPr>
          <w:b w:val="0"/>
          <w:u w:val="none"/>
        </w:rPr>
        <w:t xml:space="preserve"> )</w:t>
      </w:r>
      <w:proofErr w:type="gramEnd"/>
      <w:r>
        <w:rPr>
          <w:b w:val="0"/>
          <w:u w:val="none"/>
        </w:rPr>
        <w:t xml:space="preserve"> in the Notes worksheet.   The </w:t>
      </w:r>
      <w:proofErr w:type="spellStart"/>
      <w:r>
        <w:rPr>
          <w:b w:val="0"/>
          <w:u w:val="none"/>
        </w:rPr>
        <w:t>Lambertsons</w:t>
      </w:r>
      <w:proofErr w:type="spellEnd"/>
      <w:r>
        <w:rPr>
          <w:b w:val="0"/>
          <w:u w:val="none"/>
        </w:rPr>
        <w:t xml:space="preserve"> were removed in the 2012-13 </w:t>
      </w:r>
      <w:proofErr w:type="gramStart"/>
      <w:r>
        <w:rPr>
          <w:b w:val="0"/>
          <w:u w:val="none"/>
        </w:rPr>
        <w:t>shutdown</w:t>
      </w:r>
      <w:proofErr w:type="gramEnd"/>
      <w:r>
        <w:rPr>
          <w:b w:val="0"/>
          <w:u w:val="none"/>
        </w:rPr>
        <w:t xml:space="preserve">.  Loss in the 2013-14 </w:t>
      </w:r>
      <w:proofErr w:type="gramStart"/>
      <w:r>
        <w:rPr>
          <w:b w:val="0"/>
          <w:u w:val="none"/>
        </w:rPr>
        <w:t>period</w:t>
      </w:r>
      <w:proofErr w:type="gramEnd"/>
      <w:r>
        <w:rPr>
          <w:b w:val="0"/>
          <w:u w:val="none"/>
        </w:rPr>
        <w:t xml:space="preserve"> remained low but is up to twice the loss in the last year with the </w:t>
      </w:r>
      <w:proofErr w:type="spellStart"/>
      <w:r>
        <w:rPr>
          <w:b w:val="0"/>
          <w:u w:val="none"/>
        </w:rPr>
        <w:t>Lambertson</w:t>
      </w:r>
      <w:proofErr w:type="spellEnd"/>
      <w:r>
        <w:rPr>
          <w:b w:val="0"/>
          <w:u w:val="none"/>
        </w:rPr>
        <w:t>.</w:t>
      </w:r>
    </w:p>
    <w:p w:rsidR="0058347C" w:rsidRDefault="0058347C">
      <w:pPr>
        <w:pStyle w:val="Text10"/>
      </w:pPr>
    </w:p>
    <w:p w:rsidR="00664135" w:rsidRDefault="00664135">
      <w:pPr>
        <w:pStyle w:val="Text10"/>
      </w:pPr>
      <w:r>
        <w:t xml:space="preserve">LI620D, LI621 - </w:t>
      </w:r>
      <w:r w:rsidR="001075DD">
        <w:t xml:space="preserve">When the 620 </w:t>
      </w:r>
      <w:proofErr w:type="spellStart"/>
      <w:r w:rsidR="001075DD">
        <w:t>Lambertsons</w:t>
      </w:r>
      <w:proofErr w:type="spellEnd"/>
      <w:r w:rsidR="001075DD">
        <w:t xml:space="preserve"> were in place, we never achieved a really low loss orbit at their downstream end which resulted in losses at these two BLM's.  LI620D loss was typically 15 times the loss at LI620C and LI621 was a further two times higher.  In 2013-14, the loss at LI620D dropped 30 times to become lower than the loss at LI620C.  We still have not fully achieved low loss at LI621 but the loss did drop three times lower than in </w:t>
      </w:r>
      <w:r w:rsidR="001075DD">
        <w:lastRenderedPageBreak/>
        <w:t>previous periods.   We can be glad that the electron beam scanner is upstream of this location.</w:t>
      </w:r>
    </w:p>
    <w:p w:rsidR="0097344C" w:rsidRDefault="0097344C">
      <w:pPr>
        <w:pStyle w:val="Text10"/>
      </w:pPr>
    </w:p>
    <w:p w:rsidR="0097344C" w:rsidRDefault="0097344C">
      <w:pPr>
        <w:pStyle w:val="Text10"/>
      </w:pPr>
      <w:r>
        <w:t>Aluminum tags have been placed during the 2014 shutdown and will be analyzed when data from the BLM's indicates that the sensitivity of the analysis tools will allow us to make a measurement.</w:t>
      </w:r>
    </w:p>
    <w:p w:rsidR="00AA608B" w:rsidRPr="00AA608B" w:rsidRDefault="00AA608B" w:rsidP="00A21D22">
      <w:pPr>
        <w:spacing w:before="240"/>
        <w:rPr>
          <w:rFonts w:ascii="NewCenturySchlbk" w:hAnsi="NewCenturySchlbk"/>
          <w:b/>
          <w:sz w:val="20"/>
          <w:u w:val="single"/>
        </w:rPr>
      </w:pPr>
      <w:r w:rsidRPr="00AA608B">
        <w:rPr>
          <w:rFonts w:ascii="NewCenturySchlbk" w:hAnsi="NewCenturySchlbk"/>
          <w:b/>
          <w:sz w:val="20"/>
          <w:u w:val="single"/>
        </w:rPr>
        <w:t>Acknowledgments</w:t>
      </w:r>
    </w:p>
    <w:p w:rsidR="00AA608B" w:rsidRPr="00AA608B" w:rsidRDefault="000C2AD4" w:rsidP="00A21D22">
      <w:pPr>
        <w:spacing w:before="240"/>
        <w:rPr>
          <w:rFonts w:ascii="NewCenturySchlbk" w:hAnsi="NewCenturySchlbk"/>
          <w:sz w:val="20"/>
        </w:rPr>
      </w:pPr>
      <w:r>
        <w:rPr>
          <w:rFonts w:ascii="NewCenturySchlbk" w:hAnsi="NewCenturySchlbk"/>
          <w:sz w:val="20"/>
        </w:rPr>
        <w:tab/>
        <w:t>I would like to thank Guan Wu for the ongoing support of I130.</w:t>
      </w:r>
      <w:r w:rsidR="00AA3F38">
        <w:rPr>
          <w:rFonts w:ascii="NewCenturySchlbk" w:hAnsi="NewCenturySchlbk"/>
          <w:sz w:val="20"/>
        </w:rPr>
        <w:t xml:space="preserve">  Discussions with James </w:t>
      </w:r>
      <w:proofErr w:type="spellStart"/>
      <w:r w:rsidR="00AA3F38">
        <w:rPr>
          <w:rFonts w:ascii="NewCenturySchlbk" w:hAnsi="NewCenturySchlbk"/>
          <w:sz w:val="20"/>
        </w:rPr>
        <w:t>Zagel</w:t>
      </w:r>
      <w:proofErr w:type="spellEnd"/>
      <w:r w:rsidR="00AA3F38">
        <w:rPr>
          <w:rFonts w:ascii="NewCenturySchlbk" w:hAnsi="NewCenturySchlbk"/>
          <w:sz w:val="20"/>
        </w:rPr>
        <w:t>, Randy Thurman-</w:t>
      </w:r>
      <w:proofErr w:type="spellStart"/>
      <w:r w:rsidR="00AA3F38">
        <w:rPr>
          <w:rFonts w:ascii="NewCenturySchlbk" w:hAnsi="NewCenturySchlbk"/>
          <w:sz w:val="20"/>
        </w:rPr>
        <w:t>Keup</w:t>
      </w:r>
      <w:proofErr w:type="spellEnd"/>
      <w:r w:rsidR="00AA3F38">
        <w:rPr>
          <w:rFonts w:ascii="NewCenturySchlbk" w:hAnsi="NewCenturySchlbk"/>
          <w:sz w:val="20"/>
        </w:rPr>
        <w:t xml:space="preserve"> and Gianni </w:t>
      </w:r>
      <w:proofErr w:type="spellStart"/>
      <w:r w:rsidR="00AA3F38">
        <w:rPr>
          <w:rFonts w:ascii="NewCenturySchlbk" w:hAnsi="NewCenturySchlbk"/>
          <w:sz w:val="20"/>
        </w:rPr>
        <w:t>Tassatto</w:t>
      </w:r>
      <w:proofErr w:type="spellEnd"/>
      <w:r w:rsidR="00AA3F38">
        <w:rPr>
          <w:rFonts w:ascii="NewCenturySchlbk" w:hAnsi="NewCenturySchlbk"/>
          <w:sz w:val="20"/>
        </w:rPr>
        <w:t xml:space="preserve"> inspired the need for this work.  Discussions with Gary </w:t>
      </w:r>
      <w:proofErr w:type="spellStart"/>
      <w:r w:rsidR="00AA3F38">
        <w:rPr>
          <w:rFonts w:ascii="NewCenturySchlbk" w:hAnsi="NewCenturySchlbk"/>
          <w:sz w:val="20"/>
        </w:rPr>
        <w:t>Lauten</w:t>
      </w:r>
      <w:proofErr w:type="spellEnd"/>
      <w:r w:rsidR="00AA3F38">
        <w:rPr>
          <w:rFonts w:ascii="NewCenturySchlbk" w:hAnsi="NewCenturySchlbk"/>
          <w:sz w:val="20"/>
        </w:rPr>
        <w:t xml:space="preserve"> and Kamran </w:t>
      </w:r>
      <w:proofErr w:type="spellStart"/>
      <w:r w:rsidR="00AA3F38">
        <w:rPr>
          <w:rFonts w:ascii="NewCenturySchlbk" w:hAnsi="NewCenturySchlbk"/>
          <w:sz w:val="20"/>
        </w:rPr>
        <w:t>Vaziri</w:t>
      </w:r>
      <w:proofErr w:type="spellEnd"/>
      <w:r w:rsidR="00AA3F38">
        <w:rPr>
          <w:rFonts w:ascii="NewCenturySchlbk" w:hAnsi="NewCenturySchlbk"/>
          <w:sz w:val="20"/>
        </w:rPr>
        <w:t xml:space="preserve"> clarified the issues.</w:t>
      </w:r>
    </w:p>
    <w:sectPr w:rsidR="00AA608B" w:rsidRPr="00AA608B" w:rsidSect="0047525A">
      <w:headerReference w:type="even" r:id="rId14"/>
      <w:headerReference w:type="default" r:id="rId15"/>
      <w:footerReference w:type="default" r:id="rId16"/>
      <w:headerReference w:type="first" r:id="rId17"/>
      <w:footerReference w:type="first" r:id="rId18"/>
      <w:type w:val="continuous"/>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19" w:rsidRDefault="005C3B19">
      <w:r>
        <w:separator/>
      </w:r>
    </w:p>
  </w:endnote>
  <w:endnote w:type="continuationSeparator" w:id="0">
    <w:p w:rsidR="005C3B19" w:rsidRDefault="005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Century Schlbk">
    <w:altName w:val="Century Schoolbook"/>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rmiLgo">
    <w:panose1 w:val="00000400000000000000"/>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ermi">
    <w:altName w:val="Times New Roman"/>
    <w:panose1 w:val="00000000000000000000"/>
    <w:charset w:val="4D"/>
    <w:family w:val="auto"/>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Default="00BB226C" w:rsidP="00D30EF7">
    <w:pPr>
      <w:pStyle w:val="Footer"/>
      <w:jc w:val="center"/>
    </w:pPr>
    <w:r w:rsidRPr="00D30EF7">
      <w:rPr>
        <w:rStyle w:val="PageNumber"/>
      </w:rPr>
      <w:t xml:space="preserve">Page </w:t>
    </w:r>
    <w:r w:rsidRPr="00D30EF7">
      <w:rPr>
        <w:rStyle w:val="PageNumber"/>
      </w:rPr>
      <w:fldChar w:fldCharType="begin"/>
    </w:r>
    <w:r w:rsidRPr="00D30EF7">
      <w:rPr>
        <w:rStyle w:val="PageNumber"/>
      </w:rPr>
      <w:instrText xml:space="preserve"> PAGE </w:instrText>
    </w:r>
    <w:r w:rsidRPr="00D30EF7">
      <w:rPr>
        <w:rStyle w:val="PageNumber"/>
      </w:rPr>
      <w:fldChar w:fldCharType="separate"/>
    </w:r>
    <w:r w:rsidR="0047525A">
      <w:rPr>
        <w:rStyle w:val="PageNumber"/>
        <w:noProof/>
      </w:rPr>
      <w:t>2</w:t>
    </w:r>
    <w:r w:rsidRPr="00D30EF7">
      <w:rPr>
        <w:rStyle w:val="PageNumber"/>
      </w:rPr>
      <w:fldChar w:fldCharType="end"/>
    </w:r>
    <w:r w:rsidRPr="00D30EF7">
      <w:rPr>
        <w:rStyle w:val="PageNumber"/>
      </w:rPr>
      <w:t xml:space="preserve"> of </w:t>
    </w:r>
    <w:r w:rsidRPr="00D30EF7">
      <w:rPr>
        <w:rStyle w:val="PageNumber"/>
      </w:rPr>
      <w:fldChar w:fldCharType="begin"/>
    </w:r>
    <w:r w:rsidRPr="00D30EF7">
      <w:rPr>
        <w:rStyle w:val="PageNumber"/>
      </w:rPr>
      <w:instrText xml:space="preserve"> NUMPAGES </w:instrText>
    </w:r>
    <w:r w:rsidRPr="00D30EF7">
      <w:rPr>
        <w:rStyle w:val="PageNumber"/>
      </w:rPr>
      <w:fldChar w:fldCharType="separate"/>
    </w:r>
    <w:r w:rsidR="0047525A">
      <w:rPr>
        <w:rStyle w:val="PageNumber"/>
        <w:noProof/>
      </w:rPr>
      <w:t>5</w:t>
    </w:r>
    <w:r w:rsidRPr="00D30EF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Default="00BB226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Default="00BB226C">
    <w:pPr>
      <w:pStyle w:val="Footer"/>
      <w:rPr>
        <w:rFonts w:ascii="New Century Schlbk" w:hAnsi="New Century Schlbk"/>
      </w:rPr>
    </w:pPr>
    <w:r>
      <w:rPr>
        <w:rFonts w:ascii="New Century Schlbk" w:hAnsi="New Century Schlbk"/>
      </w:rPr>
      <w:tab/>
      <w:t xml:space="preserve">Page </w:t>
    </w:r>
    <w:r>
      <w:rPr>
        <w:rFonts w:ascii="New Century Schlbk" w:hAnsi="New Century Schlbk"/>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Default="00BB226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19" w:rsidRDefault="005C3B19">
      <w:r>
        <w:separator/>
      </w:r>
    </w:p>
  </w:footnote>
  <w:footnote w:type="continuationSeparator" w:id="0">
    <w:p w:rsidR="005C3B19" w:rsidRDefault="005C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Default="00BB226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Default="005835AA">
    <w:pPr>
      <w:pStyle w:val="Header"/>
      <w:rPr>
        <w:rFonts w:ascii="New Century Schlbk" w:hAnsi="New Century Schlbk"/>
      </w:rPr>
    </w:pPr>
    <w:r>
      <w:rPr>
        <w:rFonts w:ascii="New Century Schlbk" w:hAnsi="New Century Schlbk"/>
      </w:rPr>
      <w:t>1</w:t>
    </w:r>
    <w:r w:rsidR="00847AC5">
      <w:rPr>
        <w:rFonts w:ascii="New Century Schlbk" w:hAnsi="New Century Schlbk"/>
      </w:rPr>
      <w:t>0/28</w:t>
    </w:r>
    <w:r>
      <w:rPr>
        <w:rFonts w:ascii="New Century Schlbk" w:hAnsi="New Century Schlbk"/>
      </w:rPr>
      <w:t>/2014</w:t>
    </w:r>
    <w:r>
      <w:rPr>
        <w:rFonts w:ascii="New Century Schlbk" w:hAnsi="New Century Schlbk"/>
      </w:rPr>
      <w:tab/>
      <w:t>Loss History: LI619A-LI621 and LI10</w:t>
    </w:r>
    <w:r w:rsidR="005E38D4">
      <w:rPr>
        <w:rFonts w:ascii="New Century Schlbk" w:hAnsi="New Century Schlbk"/>
      </w:rPr>
      <w:t xml:space="preserve">1C-LI107 </w:t>
    </w:r>
    <w:r w:rsidR="005E38D4">
      <w:rPr>
        <w:rFonts w:ascii="New Century Schlbk" w:hAnsi="New Century Schlbk"/>
      </w:rPr>
      <w:tab/>
      <w:t>Beams-doc-4692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D4" w:rsidRDefault="005E38D4" w:rsidP="005E38D4">
    <w:pPr>
      <w:pStyle w:val="Header"/>
      <w:rPr>
        <w:rFonts w:ascii="New Century Schlbk" w:hAnsi="New Century Schlbk"/>
      </w:rPr>
    </w:pPr>
    <w:r>
      <w:rPr>
        <w:rFonts w:ascii="New Century Schlbk" w:hAnsi="New Century Schlbk"/>
      </w:rPr>
      <w:t>1</w:t>
    </w:r>
    <w:r w:rsidR="00847AC5">
      <w:rPr>
        <w:rFonts w:ascii="New Century Schlbk" w:hAnsi="New Century Schlbk"/>
      </w:rPr>
      <w:t>0/28</w:t>
    </w:r>
    <w:r>
      <w:rPr>
        <w:rFonts w:ascii="New Century Schlbk" w:hAnsi="New Century Schlbk"/>
      </w:rPr>
      <w:t>/2014</w:t>
    </w:r>
    <w:r>
      <w:rPr>
        <w:rFonts w:ascii="New Century Schlbk" w:hAnsi="New Century Schlbk"/>
      </w:rPr>
      <w:tab/>
      <w:t xml:space="preserve">Loss History: LI619A-LI621 and LI101C-LI107 </w:t>
    </w:r>
    <w:r>
      <w:rPr>
        <w:rFonts w:ascii="New Century Schlbk" w:hAnsi="New Century Schlbk"/>
      </w:rPr>
      <w:tab/>
      <w:t>Beams-doc-4692</w:t>
    </w:r>
  </w:p>
  <w:p w:rsidR="00BB226C" w:rsidRDefault="00BB22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C" w:rsidRPr="00D605A3" w:rsidRDefault="00BB226C" w:rsidP="00D605A3">
    <w:pPr>
      <w:pStyle w:val="Header"/>
      <w:ind w:right="360"/>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B690F"/>
    <w:multiLevelType w:val="hybridMultilevel"/>
    <w:tmpl w:val="42763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A3"/>
    <w:rsid w:val="0003570D"/>
    <w:rsid w:val="00035C06"/>
    <w:rsid w:val="00045857"/>
    <w:rsid w:val="00065181"/>
    <w:rsid w:val="00083DEB"/>
    <w:rsid w:val="000941FF"/>
    <w:rsid w:val="000B0E20"/>
    <w:rsid w:val="000C2AD4"/>
    <w:rsid w:val="000E34AC"/>
    <w:rsid w:val="000F302D"/>
    <w:rsid w:val="001075DD"/>
    <w:rsid w:val="001525A0"/>
    <w:rsid w:val="001555F1"/>
    <w:rsid w:val="00170332"/>
    <w:rsid w:val="001734F6"/>
    <w:rsid w:val="001B0A6D"/>
    <w:rsid w:val="001C510A"/>
    <w:rsid w:val="001D6AC0"/>
    <w:rsid w:val="001E14B2"/>
    <w:rsid w:val="00251529"/>
    <w:rsid w:val="00271958"/>
    <w:rsid w:val="002847BE"/>
    <w:rsid w:val="002B4D6F"/>
    <w:rsid w:val="002E31B1"/>
    <w:rsid w:val="002F2AE1"/>
    <w:rsid w:val="002F6229"/>
    <w:rsid w:val="002F7448"/>
    <w:rsid w:val="0034486E"/>
    <w:rsid w:val="00394F6A"/>
    <w:rsid w:val="003D7F95"/>
    <w:rsid w:val="003F7126"/>
    <w:rsid w:val="004066EE"/>
    <w:rsid w:val="0041035A"/>
    <w:rsid w:val="004312DB"/>
    <w:rsid w:val="0043382B"/>
    <w:rsid w:val="00436E8E"/>
    <w:rsid w:val="0047525A"/>
    <w:rsid w:val="0048689E"/>
    <w:rsid w:val="00493C2F"/>
    <w:rsid w:val="004D3205"/>
    <w:rsid w:val="005678FE"/>
    <w:rsid w:val="0058347C"/>
    <w:rsid w:val="005835AA"/>
    <w:rsid w:val="005B6958"/>
    <w:rsid w:val="005B7BFC"/>
    <w:rsid w:val="005C3B19"/>
    <w:rsid w:val="005D1A70"/>
    <w:rsid w:val="005E38D4"/>
    <w:rsid w:val="006055F0"/>
    <w:rsid w:val="006536E1"/>
    <w:rsid w:val="00661A77"/>
    <w:rsid w:val="00664135"/>
    <w:rsid w:val="00677DA9"/>
    <w:rsid w:val="00691B50"/>
    <w:rsid w:val="006A198C"/>
    <w:rsid w:val="006A21F7"/>
    <w:rsid w:val="006A78D4"/>
    <w:rsid w:val="00704D14"/>
    <w:rsid w:val="00740605"/>
    <w:rsid w:val="00751DF5"/>
    <w:rsid w:val="00755046"/>
    <w:rsid w:val="007910F3"/>
    <w:rsid w:val="00794049"/>
    <w:rsid w:val="007D360D"/>
    <w:rsid w:val="00800CD8"/>
    <w:rsid w:val="00847AC5"/>
    <w:rsid w:val="00922989"/>
    <w:rsid w:val="00922F8C"/>
    <w:rsid w:val="009241CF"/>
    <w:rsid w:val="00947D0A"/>
    <w:rsid w:val="00954E7F"/>
    <w:rsid w:val="00962622"/>
    <w:rsid w:val="00971679"/>
    <w:rsid w:val="0097344C"/>
    <w:rsid w:val="00986985"/>
    <w:rsid w:val="0099427B"/>
    <w:rsid w:val="009C360D"/>
    <w:rsid w:val="009F3607"/>
    <w:rsid w:val="00A1541F"/>
    <w:rsid w:val="00A21D22"/>
    <w:rsid w:val="00A434FA"/>
    <w:rsid w:val="00A65A12"/>
    <w:rsid w:val="00A80E35"/>
    <w:rsid w:val="00A9065E"/>
    <w:rsid w:val="00AA20E7"/>
    <w:rsid w:val="00AA3F38"/>
    <w:rsid w:val="00AA608B"/>
    <w:rsid w:val="00AA6AAA"/>
    <w:rsid w:val="00AF75F6"/>
    <w:rsid w:val="00B140F2"/>
    <w:rsid w:val="00B74813"/>
    <w:rsid w:val="00B85643"/>
    <w:rsid w:val="00BB226C"/>
    <w:rsid w:val="00C11DDF"/>
    <w:rsid w:val="00C2131F"/>
    <w:rsid w:val="00C64449"/>
    <w:rsid w:val="00C77791"/>
    <w:rsid w:val="00C928C5"/>
    <w:rsid w:val="00D30EF7"/>
    <w:rsid w:val="00D604E0"/>
    <w:rsid w:val="00D605A3"/>
    <w:rsid w:val="00DE08E4"/>
    <w:rsid w:val="00DF76F2"/>
    <w:rsid w:val="00E064AA"/>
    <w:rsid w:val="00E25EB2"/>
    <w:rsid w:val="00E37FA9"/>
    <w:rsid w:val="00EA2234"/>
    <w:rsid w:val="00EE3371"/>
    <w:rsid w:val="00EE63D6"/>
    <w:rsid w:val="00F60CC2"/>
    <w:rsid w:val="00F72AD7"/>
    <w:rsid w:val="00F967D0"/>
    <w:rsid w:val="00FD07F5"/>
    <w:rsid w:val="00FF0305"/>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152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ext2">
    <w:name w:val="Text 2"/>
    <w:basedOn w:val="Heading21"/>
    <w:pPr>
      <w:jc w:val="both"/>
    </w:pPr>
    <w:rPr>
      <w:b w:val="0"/>
      <w:u w:val="none"/>
    </w:rPr>
  </w:style>
  <w:style w:type="paragraph" w:customStyle="1" w:styleId="Heading21">
    <w:name w:val="Heading 21"/>
    <w:basedOn w:val="Normal"/>
    <w:rPr>
      <w:rFonts w:ascii="New Century Schlbk" w:hAnsi="New Century Schlbk"/>
      <w:b/>
      <w:u w:val="single"/>
    </w:rPr>
  </w:style>
  <w:style w:type="paragraph" w:customStyle="1" w:styleId="Heading11">
    <w:name w:val="Heading 11"/>
    <w:basedOn w:val="Normal"/>
    <w:rPr>
      <w:rFonts w:ascii="New Century Schlbk" w:hAnsi="New Century Schlbk"/>
      <w:b/>
      <w:sz w:val="20"/>
      <w:u w:val="single"/>
    </w:rPr>
  </w:style>
  <w:style w:type="paragraph" w:styleId="Title">
    <w:name w:val="Title"/>
    <w:basedOn w:val="Heading21"/>
    <w:qFormat/>
    <w:pPr>
      <w:jc w:val="center"/>
    </w:pPr>
    <w:rPr>
      <w:sz w:val="28"/>
      <w:u w:val="none"/>
    </w:rPr>
  </w:style>
  <w:style w:type="paragraph" w:customStyle="1" w:styleId="Text1">
    <w:name w:val="Text 1"/>
    <w:basedOn w:val="Normal"/>
    <w:pPr>
      <w:jc w:val="both"/>
    </w:pPr>
    <w:rPr>
      <w:rFonts w:ascii="New Century Schlbk" w:hAnsi="New Century Schlbk"/>
      <w:sz w:val="20"/>
    </w:rPr>
  </w:style>
  <w:style w:type="paragraph" w:customStyle="1" w:styleId="Text10">
    <w:name w:val="Text 1"/>
    <w:basedOn w:val="Text2"/>
    <w:rPr>
      <w:sz w:val="20"/>
    </w:rPr>
  </w:style>
  <w:style w:type="character" w:styleId="PageNumber">
    <w:name w:val="page number"/>
    <w:basedOn w:val="DefaultParagraphFont"/>
    <w:rsid w:val="00D605A3"/>
  </w:style>
  <w:style w:type="table" w:styleId="TableGrid">
    <w:name w:val="Table Grid"/>
    <w:basedOn w:val="TableNormal"/>
    <w:rsid w:val="0008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E064A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064AA"/>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0C2AD4"/>
    <w:rPr>
      <w:rFonts w:ascii="Tahoma" w:hAnsi="Tahoma" w:cs="Tahoma"/>
      <w:sz w:val="16"/>
      <w:szCs w:val="16"/>
    </w:rPr>
  </w:style>
  <w:style w:type="character" w:customStyle="1" w:styleId="BalloonTextChar">
    <w:name w:val="Balloon Text Char"/>
    <w:basedOn w:val="DefaultParagraphFont"/>
    <w:link w:val="BalloonText"/>
    <w:rsid w:val="000C2AD4"/>
    <w:rPr>
      <w:rFonts w:ascii="Tahoma" w:hAnsi="Tahoma" w:cs="Tahoma"/>
      <w:sz w:val="16"/>
      <w:szCs w:val="16"/>
    </w:rPr>
  </w:style>
  <w:style w:type="character" w:customStyle="1" w:styleId="Heading1Char">
    <w:name w:val="Heading 1 Char"/>
    <w:basedOn w:val="DefaultParagraphFont"/>
    <w:link w:val="Heading1"/>
    <w:rsid w:val="001525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152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ext2">
    <w:name w:val="Text 2"/>
    <w:basedOn w:val="Heading21"/>
    <w:pPr>
      <w:jc w:val="both"/>
    </w:pPr>
    <w:rPr>
      <w:b w:val="0"/>
      <w:u w:val="none"/>
    </w:rPr>
  </w:style>
  <w:style w:type="paragraph" w:customStyle="1" w:styleId="Heading21">
    <w:name w:val="Heading 21"/>
    <w:basedOn w:val="Normal"/>
    <w:rPr>
      <w:rFonts w:ascii="New Century Schlbk" w:hAnsi="New Century Schlbk"/>
      <w:b/>
      <w:u w:val="single"/>
    </w:rPr>
  </w:style>
  <w:style w:type="paragraph" w:customStyle="1" w:styleId="Heading11">
    <w:name w:val="Heading 11"/>
    <w:basedOn w:val="Normal"/>
    <w:rPr>
      <w:rFonts w:ascii="New Century Schlbk" w:hAnsi="New Century Schlbk"/>
      <w:b/>
      <w:sz w:val="20"/>
      <w:u w:val="single"/>
    </w:rPr>
  </w:style>
  <w:style w:type="paragraph" w:styleId="Title">
    <w:name w:val="Title"/>
    <w:basedOn w:val="Heading21"/>
    <w:qFormat/>
    <w:pPr>
      <w:jc w:val="center"/>
    </w:pPr>
    <w:rPr>
      <w:sz w:val="28"/>
      <w:u w:val="none"/>
    </w:rPr>
  </w:style>
  <w:style w:type="paragraph" w:customStyle="1" w:styleId="Text1">
    <w:name w:val="Text 1"/>
    <w:basedOn w:val="Normal"/>
    <w:pPr>
      <w:jc w:val="both"/>
    </w:pPr>
    <w:rPr>
      <w:rFonts w:ascii="New Century Schlbk" w:hAnsi="New Century Schlbk"/>
      <w:sz w:val="20"/>
    </w:rPr>
  </w:style>
  <w:style w:type="paragraph" w:customStyle="1" w:styleId="Text10">
    <w:name w:val="Text 1"/>
    <w:basedOn w:val="Text2"/>
    <w:rPr>
      <w:sz w:val="20"/>
    </w:rPr>
  </w:style>
  <w:style w:type="character" w:styleId="PageNumber">
    <w:name w:val="page number"/>
    <w:basedOn w:val="DefaultParagraphFont"/>
    <w:rsid w:val="00D605A3"/>
  </w:style>
  <w:style w:type="table" w:styleId="TableGrid">
    <w:name w:val="Table Grid"/>
    <w:basedOn w:val="TableNormal"/>
    <w:rsid w:val="0008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E064A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064AA"/>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0C2AD4"/>
    <w:rPr>
      <w:rFonts w:ascii="Tahoma" w:hAnsi="Tahoma" w:cs="Tahoma"/>
      <w:sz w:val="16"/>
      <w:szCs w:val="16"/>
    </w:rPr>
  </w:style>
  <w:style w:type="character" w:customStyle="1" w:styleId="BalloonTextChar">
    <w:name w:val="Balloon Text Char"/>
    <w:basedOn w:val="DefaultParagraphFont"/>
    <w:link w:val="BalloonText"/>
    <w:rsid w:val="000C2AD4"/>
    <w:rPr>
      <w:rFonts w:ascii="Tahoma" w:hAnsi="Tahoma" w:cs="Tahoma"/>
      <w:sz w:val="16"/>
      <w:szCs w:val="16"/>
    </w:rPr>
  </w:style>
  <w:style w:type="character" w:customStyle="1" w:styleId="Heading1Char">
    <w:name w:val="Heading 1 Char"/>
    <w:basedOn w:val="DefaultParagraphFont"/>
    <w:link w:val="Heading1"/>
    <w:rsid w:val="001525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496">
      <w:bodyDiv w:val="1"/>
      <w:marLeft w:val="0"/>
      <w:marRight w:val="0"/>
      <w:marTop w:val="0"/>
      <w:marBottom w:val="0"/>
      <w:divBdr>
        <w:top w:val="none" w:sz="0" w:space="0" w:color="auto"/>
        <w:left w:val="none" w:sz="0" w:space="0" w:color="auto"/>
        <w:bottom w:val="none" w:sz="0" w:space="0" w:color="auto"/>
        <w:right w:val="none" w:sz="0" w:space="0" w:color="auto"/>
      </w:divBdr>
    </w:div>
    <w:div w:id="43524797">
      <w:bodyDiv w:val="1"/>
      <w:marLeft w:val="0"/>
      <w:marRight w:val="0"/>
      <w:marTop w:val="0"/>
      <w:marBottom w:val="0"/>
      <w:divBdr>
        <w:top w:val="none" w:sz="0" w:space="0" w:color="auto"/>
        <w:left w:val="none" w:sz="0" w:space="0" w:color="auto"/>
        <w:bottom w:val="none" w:sz="0" w:space="0" w:color="auto"/>
        <w:right w:val="none" w:sz="0" w:space="0" w:color="auto"/>
      </w:divBdr>
    </w:div>
    <w:div w:id="143662514">
      <w:bodyDiv w:val="1"/>
      <w:marLeft w:val="0"/>
      <w:marRight w:val="0"/>
      <w:marTop w:val="0"/>
      <w:marBottom w:val="0"/>
      <w:divBdr>
        <w:top w:val="none" w:sz="0" w:space="0" w:color="auto"/>
        <w:left w:val="none" w:sz="0" w:space="0" w:color="auto"/>
        <w:bottom w:val="none" w:sz="0" w:space="0" w:color="auto"/>
        <w:right w:val="none" w:sz="0" w:space="0" w:color="auto"/>
      </w:divBdr>
    </w:div>
    <w:div w:id="234978753">
      <w:bodyDiv w:val="1"/>
      <w:marLeft w:val="0"/>
      <w:marRight w:val="0"/>
      <w:marTop w:val="0"/>
      <w:marBottom w:val="0"/>
      <w:divBdr>
        <w:top w:val="none" w:sz="0" w:space="0" w:color="auto"/>
        <w:left w:val="none" w:sz="0" w:space="0" w:color="auto"/>
        <w:bottom w:val="none" w:sz="0" w:space="0" w:color="auto"/>
        <w:right w:val="none" w:sz="0" w:space="0" w:color="auto"/>
      </w:divBdr>
    </w:div>
    <w:div w:id="307170045">
      <w:bodyDiv w:val="1"/>
      <w:marLeft w:val="0"/>
      <w:marRight w:val="0"/>
      <w:marTop w:val="0"/>
      <w:marBottom w:val="0"/>
      <w:divBdr>
        <w:top w:val="none" w:sz="0" w:space="0" w:color="auto"/>
        <w:left w:val="none" w:sz="0" w:space="0" w:color="auto"/>
        <w:bottom w:val="none" w:sz="0" w:space="0" w:color="auto"/>
        <w:right w:val="none" w:sz="0" w:space="0" w:color="auto"/>
      </w:divBdr>
    </w:div>
    <w:div w:id="568465005">
      <w:bodyDiv w:val="1"/>
      <w:marLeft w:val="0"/>
      <w:marRight w:val="0"/>
      <w:marTop w:val="0"/>
      <w:marBottom w:val="0"/>
      <w:divBdr>
        <w:top w:val="none" w:sz="0" w:space="0" w:color="auto"/>
        <w:left w:val="none" w:sz="0" w:space="0" w:color="auto"/>
        <w:bottom w:val="none" w:sz="0" w:space="0" w:color="auto"/>
        <w:right w:val="none" w:sz="0" w:space="0" w:color="auto"/>
      </w:divBdr>
    </w:div>
    <w:div w:id="651568456">
      <w:bodyDiv w:val="1"/>
      <w:marLeft w:val="0"/>
      <w:marRight w:val="0"/>
      <w:marTop w:val="0"/>
      <w:marBottom w:val="0"/>
      <w:divBdr>
        <w:top w:val="none" w:sz="0" w:space="0" w:color="auto"/>
        <w:left w:val="none" w:sz="0" w:space="0" w:color="auto"/>
        <w:bottom w:val="none" w:sz="0" w:space="0" w:color="auto"/>
        <w:right w:val="none" w:sz="0" w:space="0" w:color="auto"/>
      </w:divBdr>
    </w:div>
    <w:div w:id="668362968">
      <w:bodyDiv w:val="1"/>
      <w:marLeft w:val="0"/>
      <w:marRight w:val="0"/>
      <w:marTop w:val="0"/>
      <w:marBottom w:val="0"/>
      <w:divBdr>
        <w:top w:val="none" w:sz="0" w:space="0" w:color="auto"/>
        <w:left w:val="none" w:sz="0" w:space="0" w:color="auto"/>
        <w:bottom w:val="none" w:sz="0" w:space="0" w:color="auto"/>
        <w:right w:val="none" w:sz="0" w:space="0" w:color="auto"/>
      </w:divBdr>
    </w:div>
    <w:div w:id="747995123">
      <w:bodyDiv w:val="1"/>
      <w:marLeft w:val="0"/>
      <w:marRight w:val="0"/>
      <w:marTop w:val="0"/>
      <w:marBottom w:val="0"/>
      <w:divBdr>
        <w:top w:val="none" w:sz="0" w:space="0" w:color="auto"/>
        <w:left w:val="none" w:sz="0" w:space="0" w:color="auto"/>
        <w:bottom w:val="none" w:sz="0" w:space="0" w:color="auto"/>
        <w:right w:val="none" w:sz="0" w:space="0" w:color="auto"/>
      </w:divBdr>
    </w:div>
    <w:div w:id="762066138">
      <w:bodyDiv w:val="1"/>
      <w:marLeft w:val="0"/>
      <w:marRight w:val="0"/>
      <w:marTop w:val="0"/>
      <w:marBottom w:val="0"/>
      <w:divBdr>
        <w:top w:val="none" w:sz="0" w:space="0" w:color="auto"/>
        <w:left w:val="none" w:sz="0" w:space="0" w:color="auto"/>
        <w:bottom w:val="none" w:sz="0" w:space="0" w:color="auto"/>
        <w:right w:val="none" w:sz="0" w:space="0" w:color="auto"/>
      </w:divBdr>
    </w:div>
    <w:div w:id="776371928">
      <w:bodyDiv w:val="1"/>
      <w:marLeft w:val="0"/>
      <w:marRight w:val="0"/>
      <w:marTop w:val="0"/>
      <w:marBottom w:val="0"/>
      <w:divBdr>
        <w:top w:val="none" w:sz="0" w:space="0" w:color="auto"/>
        <w:left w:val="none" w:sz="0" w:space="0" w:color="auto"/>
        <w:bottom w:val="none" w:sz="0" w:space="0" w:color="auto"/>
        <w:right w:val="none" w:sz="0" w:space="0" w:color="auto"/>
      </w:divBdr>
    </w:div>
    <w:div w:id="805245479">
      <w:bodyDiv w:val="1"/>
      <w:marLeft w:val="0"/>
      <w:marRight w:val="0"/>
      <w:marTop w:val="0"/>
      <w:marBottom w:val="0"/>
      <w:divBdr>
        <w:top w:val="none" w:sz="0" w:space="0" w:color="auto"/>
        <w:left w:val="none" w:sz="0" w:space="0" w:color="auto"/>
        <w:bottom w:val="none" w:sz="0" w:space="0" w:color="auto"/>
        <w:right w:val="none" w:sz="0" w:space="0" w:color="auto"/>
      </w:divBdr>
    </w:div>
    <w:div w:id="957948314">
      <w:bodyDiv w:val="1"/>
      <w:marLeft w:val="0"/>
      <w:marRight w:val="0"/>
      <w:marTop w:val="0"/>
      <w:marBottom w:val="0"/>
      <w:divBdr>
        <w:top w:val="none" w:sz="0" w:space="0" w:color="auto"/>
        <w:left w:val="none" w:sz="0" w:space="0" w:color="auto"/>
        <w:bottom w:val="none" w:sz="0" w:space="0" w:color="auto"/>
        <w:right w:val="none" w:sz="0" w:space="0" w:color="auto"/>
      </w:divBdr>
    </w:div>
    <w:div w:id="1064765549">
      <w:bodyDiv w:val="1"/>
      <w:marLeft w:val="0"/>
      <w:marRight w:val="0"/>
      <w:marTop w:val="0"/>
      <w:marBottom w:val="0"/>
      <w:divBdr>
        <w:top w:val="none" w:sz="0" w:space="0" w:color="auto"/>
        <w:left w:val="none" w:sz="0" w:space="0" w:color="auto"/>
        <w:bottom w:val="none" w:sz="0" w:space="0" w:color="auto"/>
        <w:right w:val="none" w:sz="0" w:space="0" w:color="auto"/>
      </w:divBdr>
    </w:div>
    <w:div w:id="1079643247">
      <w:bodyDiv w:val="1"/>
      <w:marLeft w:val="0"/>
      <w:marRight w:val="0"/>
      <w:marTop w:val="0"/>
      <w:marBottom w:val="0"/>
      <w:divBdr>
        <w:top w:val="none" w:sz="0" w:space="0" w:color="auto"/>
        <w:left w:val="none" w:sz="0" w:space="0" w:color="auto"/>
        <w:bottom w:val="none" w:sz="0" w:space="0" w:color="auto"/>
        <w:right w:val="none" w:sz="0" w:space="0" w:color="auto"/>
      </w:divBdr>
    </w:div>
    <w:div w:id="1085566285">
      <w:bodyDiv w:val="1"/>
      <w:marLeft w:val="0"/>
      <w:marRight w:val="0"/>
      <w:marTop w:val="0"/>
      <w:marBottom w:val="0"/>
      <w:divBdr>
        <w:top w:val="none" w:sz="0" w:space="0" w:color="auto"/>
        <w:left w:val="none" w:sz="0" w:space="0" w:color="auto"/>
        <w:bottom w:val="none" w:sz="0" w:space="0" w:color="auto"/>
        <w:right w:val="none" w:sz="0" w:space="0" w:color="auto"/>
      </w:divBdr>
    </w:div>
    <w:div w:id="1086999182">
      <w:bodyDiv w:val="1"/>
      <w:marLeft w:val="0"/>
      <w:marRight w:val="0"/>
      <w:marTop w:val="0"/>
      <w:marBottom w:val="0"/>
      <w:divBdr>
        <w:top w:val="none" w:sz="0" w:space="0" w:color="auto"/>
        <w:left w:val="none" w:sz="0" w:space="0" w:color="auto"/>
        <w:bottom w:val="none" w:sz="0" w:space="0" w:color="auto"/>
        <w:right w:val="none" w:sz="0" w:space="0" w:color="auto"/>
      </w:divBdr>
    </w:div>
    <w:div w:id="1130824216">
      <w:bodyDiv w:val="1"/>
      <w:marLeft w:val="0"/>
      <w:marRight w:val="0"/>
      <w:marTop w:val="0"/>
      <w:marBottom w:val="0"/>
      <w:divBdr>
        <w:top w:val="none" w:sz="0" w:space="0" w:color="auto"/>
        <w:left w:val="none" w:sz="0" w:space="0" w:color="auto"/>
        <w:bottom w:val="none" w:sz="0" w:space="0" w:color="auto"/>
        <w:right w:val="none" w:sz="0" w:space="0" w:color="auto"/>
      </w:divBdr>
    </w:div>
    <w:div w:id="1178084699">
      <w:bodyDiv w:val="1"/>
      <w:marLeft w:val="0"/>
      <w:marRight w:val="0"/>
      <w:marTop w:val="0"/>
      <w:marBottom w:val="0"/>
      <w:divBdr>
        <w:top w:val="none" w:sz="0" w:space="0" w:color="auto"/>
        <w:left w:val="none" w:sz="0" w:space="0" w:color="auto"/>
        <w:bottom w:val="none" w:sz="0" w:space="0" w:color="auto"/>
        <w:right w:val="none" w:sz="0" w:space="0" w:color="auto"/>
      </w:divBdr>
    </w:div>
    <w:div w:id="1231424063">
      <w:bodyDiv w:val="1"/>
      <w:marLeft w:val="0"/>
      <w:marRight w:val="0"/>
      <w:marTop w:val="0"/>
      <w:marBottom w:val="0"/>
      <w:divBdr>
        <w:top w:val="none" w:sz="0" w:space="0" w:color="auto"/>
        <w:left w:val="none" w:sz="0" w:space="0" w:color="auto"/>
        <w:bottom w:val="none" w:sz="0" w:space="0" w:color="auto"/>
        <w:right w:val="none" w:sz="0" w:space="0" w:color="auto"/>
      </w:divBdr>
    </w:div>
    <w:div w:id="1374960840">
      <w:bodyDiv w:val="1"/>
      <w:marLeft w:val="0"/>
      <w:marRight w:val="0"/>
      <w:marTop w:val="0"/>
      <w:marBottom w:val="0"/>
      <w:divBdr>
        <w:top w:val="none" w:sz="0" w:space="0" w:color="auto"/>
        <w:left w:val="none" w:sz="0" w:space="0" w:color="auto"/>
        <w:bottom w:val="none" w:sz="0" w:space="0" w:color="auto"/>
        <w:right w:val="none" w:sz="0" w:space="0" w:color="auto"/>
      </w:divBdr>
    </w:div>
    <w:div w:id="1532299375">
      <w:bodyDiv w:val="1"/>
      <w:marLeft w:val="0"/>
      <w:marRight w:val="0"/>
      <w:marTop w:val="0"/>
      <w:marBottom w:val="0"/>
      <w:divBdr>
        <w:top w:val="none" w:sz="0" w:space="0" w:color="auto"/>
        <w:left w:val="none" w:sz="0" w:space="0" w:color="auto"/>
        <w:bottom w:val="none" w:sz="0" w:space="0" w:color="auto"/>
        <w:right w:val="none" w:sz="0" w:space="0" w:color="auto"/>
      </w:divBdr>
    </w:div>
    <w:div w:id="1619753434">
      <w:bodyDiv w:val="1"/>
      <w:marLeft w:val="0"/>
      <w:marRight w:val="0"/>
      <w:marTop w:val="0"/>
      <w:marBottom w:val="0"/>
      <w:divBdr>
        <w:top w:val="none" w:sz="0" w:space="0" w:color="auto"/>
        <w:left w:val="none" w:sz="0" w:space="0" w:color="auto"/>
        <w:bottom w:val="none" w:sz="0" w:space="0" w:color="auto"/>
        <w:right w:val="none" w:sz="0" w:space="0" w:color="auto"/>
      </w:divBdr>
    </w:div>
    <w:div w:id="1648391372">
      <w:bodyDiv w:val="1"/>
      <w:marLeft w:val="0"/>
      <w:marRight w:val="0"/>
      <w:marTop w:val="0"/>
      <w:marBottom w:val="0"/>
      <w:divBdr>
        <w:top w:val="none" w:sz="0" w:space="0" w:color="auto"/>
        <w:left w:val="none" w:sz="0" w:space="0" w:color="auto"/>
        <w:bottom w:val="none" w:sz="0" w:space="0" w:color="auto"/>
        <w:right w:val="none" w:sz="0" w:space="0" w:color="auto"/>
      </w:divBdr>
    </w:div>
    <w:div w:id="19705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beamssrv1\bcbrown$\Data\W89Data\LossAtInstrStuf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eamssrv1\bcbrown$\Data\W89Data\LossAtInstrStuf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Notes!$E$9</c:f>
              <c:strCache>
                <c:ptCount val="1"/>
                <c:pt idx="0">
                  <c:v>101C</c:v>
                </c:pt>
              </c:strCache>
            </c:strRef>
          </c:tx>
          <c:cat>
            <c:strRef>
              <c:f>Notes!$A$19:$A$24</c:f>
              <c:strCache>
                <c:ptCount val="6"/>
                <c:pt idx="0">
                  <c:v>2007-8</c:v>
                </c:pt>
                <c:pt idx="1">
                  <c:v>2008-9</c:v>
                </c:pt>
                <c:pt idx="2">
                  <c:v>2009-10</c:v>
                </c:pt>
                <c:pt idx="3">
                  <c:v>2010-11</c:v>
                </c:pt>
                <c:pt idx="4">
                  <c:v>2011-12</c:v>
                </c:pt>
                <c:pt idx="5">
                  <c:v>2013-14</c:v>
                </c:pt>
              </c:strCache>
            </c:strRef>
          </c:cat>
          <c:val>
            <c:numRef>
              <c:f>Notes!$E$19:$E$24</c:f>
              <c:numCache>
                <c:formatCode>General</c:formatCode>
                <c:ptCount val="6"/>
                <c:pt idx="0">
                  <c:v>4.7501851851851871E-4</c:v>
                </c:pt>
                <c:pt idx="1">
                  <c:v>2.3825581395348834E-4</c:v>
                </c:pt>
                <c:pt idx="2">
                  <c:v>2.4047272727272724E-4</c:v>
                </c:pt>
                <c:pt idx="3">
                  <c:v>2.6635714285714283E-4</c:v>
                </c:pt>
                <c:pt idx="4">
                  <c:v>1.9894444444444443E-4</c:v>
                </c:pt>
                <c:pt idx="5">
                  <c:v>3.3887037037037035E-4</c:v>
                </c:pt>
              </c:numCache>
            </c:numRef>
          </c:val>
          <c:smooth val="0"/>
        </c:ser>
        <c:ser>
          <c:idx val="1"/>
          <c:order val="1"/>
          <c:tx>
            <c:strRef>
              <c:f>Notes!$F$9</c:f>
              <c:strCache>
                <c:ptCount val="1"/>
                <c:pt idx="0">
                  <c:v>102B</c:v>
                </c:pt>
              </c:strCache>
            </c:strRef>
          </c:tx>
          <c:cat>
            <c:strRef>
              <c:f>Notes!$A$19:$A$24</c:f>
              <c:strCache>
                <c:ptCount val="6"/>
                <c:pt idx="0">
                  <c:v>2007-8</c:v>
                </c:pt>
                <c:pt idx="1">
                  <c:v>2008-9</c:v>
                </c:pt>
                <c:pt idx="2">
                  <c:v>2009-10</c:v>
                </c:pt>
                <c:pt idx="3">
                  <c:v>2010-11</c:v>
                </c:pt>
                <c:pt idx="4">
                  <c:v>2011-12</c:v>
                </c:pt>
                <c:pt idx="5">
                  <c:v>2013-14</c:v>
                </c:pt>
              </c:strCache>
            </c:strRef>
          </c:cat>
          <c:val>
            <c:numRef>
              <c:f>Notes!$F$19:$F$24</c:f>
              <c:numCache>
                <c:formatCode>General</c:formatCode>
                <c:ptCount val="6"/>
                <c:pt idx="0">
                  <c:v>3.3953703703703712E-4</c:v>
                </c:pt>
                <c:pt idx="1">
                  <c:v>1.4793023255813955E-4</c:v>
                </c:pt>
                <c:pt idx="2">
                  <c:v>1.0619999999999997E-4</c:v>
                </c:pt>
                <c:pt idx="3">
                  <c:v>4.4957142857142846E-5</c:v>
                </c:pt>
                <c:pt idx="4">
                  <c:v>1.8E-5</c:v>
                </c:pt>
                <c:pt idx="5">
                  <c:v>1.0561851851851852E-3</c:v>
                </c:pt>
              </c:numCache>
            </c:numRef>
          </c:val>
          <c:smooth val="0"/>
        </c:ser>
        <c:ser>
          <c:idx val="2"/>
          <c:order val="2"/>
          <c:tx>
            <c:strRef>
              <c:f>Notes!$G$9</c:f>
              <c:strCache>
                <c:ptCount val="1"/>
                <c:pt idx="0">
                  <c:v>103</c:v>
                </c:pt>
              </c:strCache>
            </c:strRef>
          </c:tx>
          <c:cat>
            <c:strRef>
              <c:f>Notes!$A$19:$A$24</c:f>
              <c:strCache>
                <c:ptCount val="6"/>
                <c:pt idx="0">
                  <c:v>2007-8</c:v>
                </c:pt>
                <c:pt idx="1">
                  <c:v>2008-9</c:v>
                </c:pt>
                <c:pt idx="2">
                  <c:v>2009-10</c:v>
                </c:pt>
                <c:pt idx="3">
                  <c:v>2010-11</c:v>
                </c:pt>
                <c:pt idx="4">
                  <c:v>2011-12</c:v>
                </c:pt>
                <c:pt idx="5">
                  <c:v>2013-14</c:v>
                </c:pt>
              </c:strCache>
            </c:strRef>
          </c:cat>
          <c:val>
            <c:numRef>
              <c:f>Notes!$G$19:$G$24</c:f>
              <c:numCache>
                <c:formatCode>General</c:formatCode>
                <c:ptCount val="6"/>
                <c:pt idx="0">
                  <c:v>7.9987037037037038E-4</c:v>
                </c:pt>
                <c:pt idx="1">
                  <c:v>3.8281395348837216E-4</c:v>
                </c:pt>
                <c:pt idx="2">
                  <c:v>9.2600000000000001E-5</c:v>
                </c:pt>
                <c:pt idx="3">
                  <c:v>7.1199999999999955E-5</c:v>
                </c:pt>
                <c:pt idx="4">
                  <c:v>3.2555555555555555E-5</c:v>
                </c:pt>
                <c:pt idx="5">
                  <c:v>8.0215384615384632E-4</c:v>
                </c:pt>
              </c:numCache>
            </c:numRef>
          </c:val>
          <c:smooth val="0"/>
        </c:ser>
        <c:ser>
          <c:idx val="3"/>
          <c:order val="3"/>
          <c:tx>
            <c:strRef>
              <c:f>Notes!$H$9</c:f>
              <c:strCache>
                <c:ptCount val="1"/>
                <c:pt idx="0">
                  <c:v>104</c:v>
                </c:pt>
              </c:strCache>
            </c:strRef>
          </c:tx>
          <c:cat>
            <c:strRef>
              <c:f>Notes!$A$19:$A$24</c:f>
              <c:strCache>
                <c:ptCount val="6"/>
                <c:pt idx="0">
                  <c:v>2007-8</c:v>
                </c:pt>
                <c:pt idx="1">
                  <c:v>2008-9</c:v>
                </c:pt>
                <c:pt idx="2">
                  <c:v>2009-10</c:v>
                </c:pt>
                <c:pt idx="3">
                  <c:v>2010-11</c:v>
                </c:pt>
                <c:pt idx="4">
                  <c:v>2011-12</c:v>
                </c:pt>
                <c:pt idx="5">
                  <c:v>2013-14</c:v>
                </c:pt>
              </c:strCache>
            </c:strRef>
          </c:cat>
          <c:val>
            <c:numRef>
              <c:f>Notes!$H$19:$H$24</c:f>
              <c:numCache>
                <c:formatCode>General</c:formatCode>
                <c:ptCount val="6"/>
                <c:pt idx="0">
                  <c:v>4.7953703703703717E-3</c:v>
                </c:pt>
                <c:pt idx="1">
                  <c:v>3.6814418604651151E-3</c:v>
                </c:pt>
                <c:pt idx="2">
                  <c:v>4.483745454545455E-3</c:v>
                </c:pt>
                <c:pt idx="3">
                  <c:v>1.3671714285714281E-3</c:v>
                </c:pt>
                <c:pt idx="4">
                  <c:v>7.2133333333333327E-4</c:v>
                </c:pt>
                <c:pt idx="5">
                  <c:v>7.5897959183673469E-4</c:v>
                </c:pt>
              </c:numCache>
            </c:numRef>
          </c:val>
          <c:smooth val="0"/>
        </c:ser>
        <c:ser>
          <c:idx val="4"/>
          <c:order val="4"/>
          <c:tx>
            <c:strRef>
              <c:f>Notes!$I$9</c:f>
              <c:strCache>
                <c:ptCount val="1"/>
                <c:pt idx="0">
                  <c:v>105</c:v>
                </c:pt>
              </c:strCache>
            </c:strRef>
          </c:tx>
          <c:cat>
            <c:strRef>
              <c:f>Notes!$A$19:$A$24</c:f>
              <c:strCache>
                <c:ptCount val="6"/>
                <c:pt idx="0">
                  <c:v>2007-8</c:v>
                </c:pt>
                <c:pt idx="1">
                  <c:v>2008-9</c:v>
                </c:pt>
                <c:pt idx="2">
                  <c:v>2009-10</c:v>
                </c:pt>
                <c:pt idx="3">
                  <c:v>2010-11</c:v>
                </c:pt>
                <c:pt idx="4">
                  <c:v>2011-12</c:v>
                </c:pt>
                <c:pt idx="5">
                  <c:v>2013-14</c:v>
                </c:pt>
              </c:strCache>
            </c:strRef>
          </c:cat>
          <c:val>
            <c:numRef>
              <c:f>Notes!$I$19:$I$24</c:f>
              <c:numCache>
                <c:formatCode>General</c:formatCode>
                <c:ptCount val="6"/>
                <c:pt idx="0">
                  <c:v>8.7744999999999993E-3</c:v>
                </c:pt>
                <c:pt idx="1">
                  <c:v>6.9729069767441839E-3</c:v>
                </c:pt>
                <c:pt idx="2">
                  <c:v>1.0755581818181818E-2</c:v>
                </c:pt>
                <c:pt idx="3">
                  <c:v>1.3009142857142847E-3</c:v>
                </c:pt>
                <c:pt idx="4">
                  <c:v>1.0549999999999999E-4</c:v>
                </c:pt>
                <c:pt idx="5">
                  <c:v>1.4532653061224488E-4</c:v>
                </c:pt>
              </c:numCache>
            </c:numRef>
          </c:val>
          <c:smooth val="0"/>
        </c:ser>
        <c:ser>
          <c:idx val="5"/>
          <c:order val="5"/>
          <c:tx>
            <c:strRef>
              <c:f>Notes!$J$9</c:f>
              <c:strCache>
                <c:ptCount val="1"/>
                <c:pt idx="0">
                  <c:v>106</c:v>
                </c:pt>
              </c:strCache>
            </c:strRef>
          </c:tx>
          <c:cat>
            <c:strRef>
              <c:f>Notes!$A$19:$A$24</c:f>
              <c:strCache>
                <c:ptCount val="6"/>
                <c:pt idx="0">
                  <c:v>2007-8</c:v>
                </c:pt>
                <c:pt idx="1">
                  <c:v>2008-9</c:v>
                </c:pt>
                <c:pt idx="2">
                  <c:v>2009-10</c:v>
                </c:pt>
                <c:pt idx="3">
                  <c:v>2010-11</c:v>
                </c:pt>
                <c:pt idx="4">
                  <c:v>2011-12</c:v>
                </c:pt>
                <c:pt idx="5">
                  <c:v>2013-14</c:v>
                </c:pt>
              </c:strCache>
            </c:strRef>
          </c:cat>
          <c:val>
            <c:numRef>
              <c:f>Notes!$J$19:$J$24</c:f>
              <c:numCache>
                <c:formatCode>General</c:formatCode>
                <c:ptCount val="6"/>
                <c:pt idx="0">
                  <c:v>2.5817592592592593E-3</c:v>
                </c:pt>
                <c:pt idx="1">
                  <c:v>1.440302325581395E-3</c:v>
                </c:pt>
                <c:pt idx="2">
                  <c:v>3.0907454545454553E-3</c:v>
                </c:pt>
                <c:pt idx="3">
                  <c:v>2.2894285714285704E-4</c:v>
                </c:pt>
                <c:pt idx="4">
                  <c:v>4.4444444444444433E-6</c:v>
                </c:pt>
                <c:pt idx="5">
                  <c:v>8.2816326530612243E-5</c:v>
                </c:pt>
              </c:numCache>
            </c:numRef>
          </c:val>
          <c:smooth val="0"/>
        </c:ser>
        <c:ser>
          <c:idx val="6"/>
          <c:order val="6"/>
          <c:tx>
            <c:strRef>
              <c:f>Notes!$K$9</c:f>
              <c:strCache>
                <c:ptCount val="1"/>
                <c:pt idx="0">
                  <c:v>107</c:v>
                </c:pt>
              </c:strCache>
            </c:strRef>
          </c:tx>
          <c:cat>
            <c:strRef>
              <c:f>Notes!$A$19:$A$24</c:f>
              <c:strCache>
                <c:ptCount val="6"/>
                <c:pt idx="0">
                  <c:v>2007-8</c:v>
                </c:pt>
                <c:pt idx="1">
                  <c:v>2008-9</c:v>
                </c:pt>
                <c:pt idx="2">
                  <c:v>2009-10</c:v>
                </c:pt>
                <c:pt idx="3">
                  <c:v>2010-11</c:v>
                </c:pt>
                <c:pt idx="4">
                  <c:v>2011-12</c:v>
                </c:pt>
                <c:pt idx="5">
                  <c:v>2013-14</c:v>
                </c:pt>
              </c:strCache>
            </c:strRef>
          </c:cat>
          <c:val>
            <c:numRef>
              <c:f>Notes!$K$19:$K$24</c:f>
              <c:numCache>
                <c:formatCode>General</c:formatCode>
                <c:ptCount val="6"/>
                <c:pt idx="0">
                  <c:v>2.0074074074074085E-5</c:v>
                </c:pt>
                <c:pt idx="1">
                  <c:v>8.3488372093023274E-6</c:v>
                </c:pt>
                <c:pt idx="2">
                  <c:v>9.0545454545454581E-6</c:v>
                </c:pt>
                <c:pt idx="3">
                  <c:v>8.571428571428576E-6</c:v>
                </c:pt>
                <c:pt idx="4">
                  <c:v>6.3888888888888877E-6</c:v>
                </c:pt>
                <c:pt idx="5">
                  <c:v>4.9703703703703708E-5</c:v>
                </c:pt>
              </c:numCache>
            </c:numRef>
          </c:val>
          <c:smooth val="0"/>
        </c:ser>
        <c:dLbls>
          <c:showLegendKey val="0"/>
          <c:showVal val="0"/>
          <c:showCatName val="0"/>
          <c:showSerName val="0"/>
          <c:showPercent val="0"/>
          <c:showBubbleSize val="0"/>
        </c:dLbls>
        <c:marker val="1"/>
        <c:smooth val="0"/>
        <c:axId val="138828800"/>
        <c:axId val="138832896"/>
      </c:lineChart>
      <c:catAx>
        <c:axId val="138828800"/>
        <c:scaling>
          <c:orientation val="minMax"/>
        </c:scaling>
        <c:delete val="0"/>
        <c:axPos val="b"/>
        <c:majorTickMark val="out"/>
        <c:minorTickMark val="none"/>
        <c:tickLblPos val="nextTo"/>
        <c:crossAx val="138832896"/>
        <c:crosses val="autoZero"/>
        <c:auto val="1"/>
        <c:lblAlgn val="ctr"/>
        <c:lblOffset val="100"/>
        <c:noMultiLvlLbl val="0"/>
      </c:catAx>
      <c:valAx>
        <c:axId val="138832896"/>
        <c:scaling>
          <c:orientation val="minMax"/>
          <c:min val="0"/>
        </c:scaling>
        <c:delete val="0"/>
        <c:axPos val="l"/>
        <c:majorGridlines/>
        <c:title>
          <c:tx>
            <c:rich>
              <a:bodyPr rot="-5400000" vert="horz"/>
              <a:lstStyle/>
              <a:p>
                <a:pPr>
                  <a:defRPr sz="1200"/>
                </a:pPr>
                <a:r>
                  <a:rPr lang="en-US" sz="1200"/>
                  <a:t>Average Radiation (Rads/Sec)</a:t>
                </a:r>
              </a:p>
            </c:rich>
          </c:tx>
          <c:overlay val="0"/>
        </c:title>
        <c:numFmt formatCode="General" sourceLinked="1"/>
        <c:majorTickMark val="out"/>
        <c:minorTickMark val="none"/>
        <c:tickLblPos val="nextTo"/>
        <c:txPr>
          <a:bodyPr/>
          <a:lstStyle/>
          <a:p>
            <a:pPr>
              <a:defRPr sz="1600"/>
            </a:pPr>
            <a:endParaRPr lang="en-US"/>
          </a:p>
        </c:txPr>
        <c:crossAx val="13882880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Notes!$L$18</c:f>
              <c:strCache>
                <c:ptCount val="1"/>
                <c:pt idx="0">
                  <c:v>619A</c:v>
                </c:pt>
              </c:strCache>
            </c:strRef>
          </c:tx>
          <c:cat>
            <c:strRef>
              <c:f>Notes!$A$19:$A$24</c:f>
              <c:strCache>
                <c:ptCount val="6"/>
                <c:pt idx="0">
                  <c:v>2007-8</c:v>
                </c:pt>
                <c:pt idx="1">
                  <c:v>2008-9</c:v>
                </c:pt>
                <c:pt idx="2">
                  <c:v>2009-10</c:v>
                </c:pt>
                <c:pt idx="3">
                  <c:v>2010-11</c:v>
                </c:pt>
                <c:pt idx="4">
                  <c:v>2011-12</c:v>
                </c:pt>
                <c:pt idx="5">
                  <c:v>2013-14</c:v>
                </c:pt>
              </c:strCache>
            </c:strRef>
          </c:cat>
          <c:val>
            <c:numRef>
              <c:f>Notes!$L$19:$L$24</c:f>
              <c:numCache>
                <c:formatCode>General</c:formatCode>
                <c:ptCount val="6"/>
                <c:pt idx="0">
                  <c:v>1.5962962962962964E-5</c:v>
                </c:pt>
                <c:pt idx="1">
                  <c:v>6.6511627906976738E-6</c:v>
                </c:pt>
                <c:pt idx="2">
                  <c:v>6.6511627906976738E-6</c:v>
                </c:pt>
                <c:pt idx="3">
                  <c:v>1.4414285714285716E-5</c:v>
                </c:pt>
                <c:pt idx="4">
                  <c:v>1.683333333333333E-5</c:v>
                </c:pt>
                <c:pt idx="5">
                  <c:v>3.4111111111111108E-5</c:v>
                </c:pt>
              </c:numCache>
            </c:numRef>
          </c:val>
          <c:smooth val="0"/>
        </c:ser>
        <c:ser>
          <c:idx val="1"/>
          <c:order val="1"/>
          <c:tx>
            <c:strRef>
              <c:f>Notes!$M$18</c:f>
              <c:strCache>
                <c:ptCount val="1"/>
                <c:pt idx="0">
                  <c:v>620A</c:v>
                </c:pt>
              </c:strCache>
            </c:strRef>
          </c:tx>
          <c:cat>
            <c:strRef>
              <c:f>Notes!$A$19:$A$24</c:f>
              <c:strCache>
                <c:ptCount val="6"/>
                <c:pt idx="0">
                  <c:v>2007-8</c:v>
                </c:pt>
                <c:pt idx="1">
                  <c:v>2008-9</c:v>
                </c:pt>
                <c:pt idx="2">
                  <c:v>2009-10</c:v>
                </c:pt>
                <c:pt idx="3">
                  <c:v>2010-11</c:v>
                </c:pt>
                <c:pt idx="4">
                  <c:v>2011-12</c:v>
                </c:pt>
                <c:pt idx="5">
                  <c:v>2013-14</c:v>
                </c:pt>
              </c:strCache>
            </c:strRef>
          </c:cat>
          <c:val>
            <c:numRef>
              <c:f>Notes!$M$19:$M$24</c:f>
              <c:numCache>
                <c:formatCode>General</c:formatCode>
                <c:ptCount val="6"/>
                <c:pt idx="0">
                  <c:v>6.3281481481481478E-4</c:v>
                </c:pt>
                <c:pt idx="1">
                  <c:v>3.3095348837209292E-4</c:v>
                </c:pt>
                <c:pt idx="2">
                  <c:v>3.3095348837209292E-4</c:v>
                </c:pt>
                <c:pt idx="3">
                  <c:v>1.406E-4</c:v>
                </c:pt>
                <c:pt idx="4">
                  <c:v>9.3166666666666677E-5</c:v>
                </c:pt>
                <c:pt idx="5">
                  <c:v>2.4909259259259264E-4</c:v>
                </c:pt>
              </c:numCache>
            </c:numRef>
          </c:val>
          <c:smooth val="0"/>
        </c:ser>
        <c:ser>
          <c:idx val="2"/>
          <c:order val="2"/>
          <c:tx>
            <c:strRef>
              <c:f>Notes!$N$18</c:f>
              <c:strCache>
                <c:ptCount val="1"/>
                <c:pt idx="0">
                  <c:v>620B</c:v>
                </c:pt>
              </c:strCache>
            </c:strRef>
          </c:tx>
          <c:cat>
            <c:strRef>
              <c:f>Notes!$A$19:$A$24</c:f>
              <c:strCache>
                <c:ptCount val="6"/>
                <c:pt idx="0">
                  <c:v>2007-8</c:v>
                </c:pt>
                <c:pt idx="1">
                  <c:v>2008-9</c:v>
                </c:pt>
                <c:pt idx="2">
                  <c:v>2009-10</c:v>
                </c:pt>
                <c:pt idx="3">
                  <c:v>2010-11</c:v>
                </c:pt>
                <c:pt idx="4">
                  <c:v>2011-12</c:v>
                </c:pt>
                <c:pt idx="5">
                  <c:v>2013-14</c:v>
                </c:pt>
              </c:strCache>
            </c:strRef>
          </c:cat>
          <c:val>
            <c:numRef>
              <c:f>Notes!$N$19:$N$24</c:f>
              <c:numCache>
                <c:formatCode>General</c:formatCode>
                <c:ptCount val="6"/>
                <c:pt idx="0">
                  <c:v>5.7220370370370378E-4</c:v>
                </c:pt>
                <c:pt idx="1">
                  <c:v>2.2309302325581397E-4</c:v>
                </c:pt>
                <c:pt idx="2">
                  <c:v>2.2309302325581397E-4</c:v>
                </c:pt>
                <c:pt idx="3">
                  <c:v>1.4264285714285713E-4</c:v>
                </c:pt>
                <c:pt idx="4">
                  <c:v>1.2127777777777778E-4</c:v>
                </c:pt>
                <c:pt idx="5">
                  <c:v>6.407407407407406E-5</c:v>
                </c:pt>
              </c:numCache>
            </c:numRef>
          </c:val>
          <c:smooth val="0"/>
        </c:ser>
        <c:ser>
          <c:idx val="3"/>
          <c:order val="3"/>
          <c:tx>
            <c:strRef>
              <c:f>Notes!$O$18</c:f>
              <c:strCache>
                <c:ptCount val="1"/>
                <c:pt idx="0">
                  <c:v>620C</c:v>
                </c:pt>
              </c:strCache>
            </c:strRef>
          </c:tx>
          <c:cat>
            <c:strRef>
              <c:f>Notes!$A$19:$A$24</c:f>
              <c:strCache>
                <c:ptCount val="6"/>
                <c:pt idx="0">
                  <c:v>2007-8</c:v>
                </c:pt>
                <c:pt idx="1">
                  <c:v>2008-9</c:v>
                </c:pt>
                <c:pt idx="2">
                  <c:v>2009-10</c:v>
                </c:pt>
                <c:pt idx="3">
                  <c:v>2010-11</c:v>
                </c:pt>
                <c:pt idx="4">
                  <c:v>2011-12</c:v>
                </c:pt>
                <c:pt idx="5">
                  <c:v>2013-14</c:v>
                </c:pt>
              </c:strCache>
            </c:strRef>
          </c:cat>
          <c:val>
            <c:numRef>
              <c:f>Notes!$O$19:$O$24</c:f>
              <c:numCache>
                <c:formatCode>General</c:formatCode>
                <c:ptCount val="6"/>
                <c:pt idx="0">
                  <c:v>7.3814814814814815E-4</c:v>
                </c:pt>
                <c:pt idx="1">
                  <c:v>9.4604651162790712E-5</c:v>
                </c:pt>
                <c:pt idx="2">
                  <c:v>9.4604651162790712E-5</c:v>
                </c:pt>
                <c:pt idx="3">
                  <c:v>7.5614285714285697E-5</c:v>
                </c:pt>
                <c:pt idx="4">
                  <c:v>6.9833333333333341E-5</c:v>
                </c:pt>
                <c:pt idx="5">
                  <c:v>6.7333333333333321E-5</c:v>
                </c:pt>
              </c:numCache>
            </c:numRef>
          </c:val>
          <c:smooth val="0"/>
        </c:ser>
        <c:ser>
          <c:idx val="4"/>
          <c:order val="4"/>
          <c:tx>
            <c:strRef>
              <c:f>Notes!$P$18</c:f>
              <c:strCache>
                <c:ptCount val="1"/>
                <c:pt idx="0">
                  <c:v>620D</c:v>
                </c:pt>
              </c:strCache>
            </c:strRef>
          </c:tx>
          <c:cat>
            <c:strRef>
              <c:f>Notes!$A$19:$A$24</c:f>
              <c:strCache>
                <c:ptCount val="6"/>
                <c:pt idx="0">
                  <c:v>2007-8</c:v>
                </c:pt>
                <c:pt idx="1">
                  <c:v>2008-9</c:v>
                </c:pt>
                <c:pt idx="2">
                  <c:v>2009-10</c:v>
                </c:pt>
                <c:pt idx="3">
                  <c:v>2010-11</c:v>
                </c:pt>
                <c:pt idx="4">
                  <c:v>2011-12</c:v>
                </c:pt>
                <c:pt idx="5">
                  <c:v>2013-14</c:v>
                </c:pt>
              </c:strCache>
            </c:strRef>
          </c:cat>
          <c:val>
            <c:numRef>
              <c:f>Notes!$P$19:$P$24</c:f>
              <c:numCache>
                <c:formatCode>General</c:formatCode>
                <c:ptCount val="6"/>
                <c:pt idx="0">
                  <c:v>3.505592592592591E-3</c:v>
                </c:pt>
                <c:pt idx="1">
                  <c:v>1.518348837209302E-3</c:v>
                </c:pt>
                <c:pt idx="2">
                  <c:v>1.518348837209302E-3</c:v>
                </c:pt>
                <c:pt idx="3">
                  <c:v>1.475242857142857E-3</c:v>
                </c:pt>
                <c:pt idx="4">
                  <c:v>1.6969444444444443E-3</c:v>
                </c:pt>
                <c:pt idx="5">
                  <c:v>4.9592592592592613E-5</c:v>
                </c:pt>
              </c:numCache>
            </c:numRef>
          </c:val>
          <c:smooth val="0"/>
        </c:ser>
        <c:ser>
          <c:idx val="5"/>
          <c:order val="5"/>
          <c:tx>
            <c:strRef>
              <c:f>Notes!$Q$18</c:f>
              <c:strCache>
                <c:ptCount val="1"/>
                <c:pt idx="0">
                  <c:v>621</c:v>
                </c:pt>
              </c:strCache>
            </c:strRef>
          </c:tx>
          <c:cat>
            <c:strRef>
              <c:f>Notes!$A$19:$A$24</c:f>
              <c:strCache>
                <c:ptCount val="6"/>
                <c:pt idx="0">
                  <c:v>2007-8</c:v>
                </c:pt>
                <c:pt idx="1">
                  <c:v>2008-9</c:v>
                </c:pt>
                <c:pt idx="2">
                  <c:v>2009-10</c:v>
                </c:pt>
                <c:pt idx="3">
                  <c:v>2010-11</c:v>
                </c:pt>
                <c:pt idx="4">
                  <c:v>2011-12</c:v>
                </c:pt>
                <c:pt idx="5">
                  <c:v>2013-14</c:v>
                </c:pt>
              </c:strCache>
            </c:strRef>
          </c:cat>
          <c:val>
            <c:numRef>
              <c:f>Notes!$Q$19:$Q$24</c:f>
              <c:numCache>
                <c:formatCode>General</c:formatCode>
                <c:ptCount val="6"/>
                <c:pt idx="0">
                  <c:v>6.6911666666666656E-3</c:v>
                </c:pt>
                <c:pt idx="1">
                  <c:v>3.6270000000000004E-3</c:v>
                </c:pt>
                <c:pt idx="2">
                  <c:v>3.6270000000000004E-3</c:v>
                </c:pt>
                <c:pt idx="3">
                  <c:v>3.4007142857142864E-3</c:v>
                </c:pt>
                <c:pt idx="4">
                  <c:v>3.8786111111111113E-3</c:v>
                </c:pt>
                <c:pt idx="5">
                  <c:v>1.2403703703703704E-3</c:v>
                </c:pt>
              </c:numCache>
            </c:numRef>
          </c:val>
          <c:smooth val="0"/>
        </c:ser>
        <c:dLbls>
          <c:showLegendKey val="0"/>
          <c:showVal val="0"/>
          <c:showCatName val="0"/>
          <c:showSerName val="0"/>
          <c:showPercent val="0"/>
          <c:showBubbleSize val="0"/>
        </c:dLbls>
        <c:marker val="1"/>
        <c:smooth val="0"/>
        <c:axId val="126982400"/>
        <c:axId val="126988288"/>
      </c:lineChart>
      <c:catAx>
        <c:axId val="126982400"/>
        <c:scaling>
          <c:orientation val="minMax"/>
        </c:scaling>
        <c:delete val="0"/>
        <c:axPos val="b"/>
        <c:majorTickMark val="out"/>
        <c:minorTickMark val="none"/>
        <c:tickLblPos val="nextTo"/>
        <c:crossAx val="126988288"/>
        <c:crosses val="autoZero"/>
        <c:auto val="1"/>
        <c:lblAlgn val="ctr"/>
        <c:lblOffset val="100"/>
        <c:noMultiLvlLbl val="0"/>
      </c:catAx>
      <c:valAx>
        <c:axId val="126988288"/>
        <c:scaling>
          <c:orientation val="minMax"/>
        </c:scaling>
        <c:delete val="0"/>
        <c:axPos val="l"/>
        <c:majorGridlines/>
        <c:title>
          <c:tx>
            <c:rich>
              <a:bodyPr rot="-5400000" vert="horz"/>
              <a:lstStyle/>
              <a:p>
                <a:pPr>
                  <a:defRPr sz="1200"/>
                </a:pPr>
                <a:r>
                  <a:rPr lang="en-US" sz="1200"/>
                  <a:t>Average Radiation (Rads/sec)</a:t>
                </a:r>
              </a:p>
            </c:rich>
          </c:tx>
          <c:overlay val="0"/>
        </c:title>
        <c:numFmt formatCode="General" sourceLinked="1"/>
        <c:majorTickMark val="out"/>
        <c:minorTickMark val="none"/>
        <c:tickLblPos val="nextTo"/>
        <c:crossAx val="1269824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B4D5-8663-4BE0-895F-B8798947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Measurement of Booster Halo</vt:lpstr>
    </vt:vector>
  </TitlesOfParts>
  <Company>Fermilab</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Booster Halo</dc:title>
  <dc:subject>MI8 Collimator Study</dc:subject>
  <dc:creator>Bruce C. Brown</dc:creator>
  <cp:lastModifiedBy>Bruce C. Brown x4404 02237N</cp:lastModifiedBy>
  <cp:revision>15</cp:revision>
  <cp:lastPrinted>2014-10-28T22:05:00Z</cp:lastPrinted>
  <dcterms:created xsi:type="dcterms:W3CDTF">2014-10-14T18:35:00Z</dcterms:created>
  <dcterms:modified xsi:type="dcterms:W3CDTF">2014-10-28T22:46:00Z</dcterms:modified>
</cp:coreProperties>
</file>