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10" w:rsidRDefault="00EE203B" w:rsidP="001E659B">
      <w:pPr>
        <w:pStyle w:val="Title"/>
        <w:jc w:val="center"/>
        <w:rPr>
          <w:sz w:val="36"/>
          <w:szCs w:val="36"/>
        </w:rPr>
      </w:pPr>
      <w:r w:rsidRPr="001E659B">
        <w:rPr>
          <w:sz w:val="36"/>
          <w:szCs w:val="36"/>
        </w:rPr>
        <w:t xml:space="preserve">Kicking </w:t>
      </w:r>
      <w:bookmarkStart w:id="0" w:name="_GoBack"/>
      <w:bookmarkEnd w:id="0"/>
      <w:r w:rsidRPr="001E659B">
        <w:rPr>
          <w:sz w:val="36"/>
          <w:szCs w:val="36"/>
        </w:rPr>
        <w:t xml:space="preserve">the Booster Neutrino Beam </w:t>
      </w:r>
      <w:proofErr w:type="gramStart"/>
      <w:r w:rsidRPr="001E659B">
        <w:rPr>
          <w:sz w:val="36"/>
          <w:szCs w:val="36"/>
        </w:rPr>
        <w:t>Off</w:t>
      </w:r>
      <w:proofErr w:type="gramEnd"/>
      <w:r w:rsidRPr="001E659B">
        <w:rPr>
          <w:sz w:val="36"/>
          <w:szCs w:val="36"/>
        </w:rPr>
        <w:t xml:space="preserve"> Target</w:t>
      </w:r>
    </w:p>
    <w:p w:rsidR="001E659B" w:rsidRPr="001E659B" w:rsidRDefault="001E659B" w:rsidP="001E659B"/>
    <w:p w:rsidR="001E659B" w:rsidRPr="001E659B" w:rsidRDefault="001E659B" w:rsidP="001E659B">
      <w:pPr>
        <w:pStyle w:val="Subtitle"/>
        <w:jc w:val="center"/>
        <w:rPr>
          <w:sz w:val="20"/>
          <w:szCs w:val="20"/>
        </w:rPr>
      </w:pPr>
      <w:r w:rsidRPr="001E659B">
        <w:rPr>
          <w:sz w:val="20"/>
          <w:szCs w:val="20"/>
        </w:rPr>
        <w:t>Thomas R. Kobilarcik</w:t>
      </w:r>
    </w:p>
    <w:p w:rsidR="001E659B" w:rsidRPr="001E659B" w:rsidRDefault="001E659B" w:rsidP="001E659B">
      <w:pPr>
        <w:pStyle w:val="Subtitle"/>
        <w:jc w:val="center"/>
        <w:rPr>
          <w:sz w:val="20"/>
          <w:szCs w:val="20"/>
        </w:rPr>
      </w:pPr>
      <w:r w:rsidRPr="001E659B">
        <w:rPr>
          <w:sz w:val="20"/>
          <w:szCs w:val="20"/>
        </w:rPr>
        <w:t>21 January 2016</w:t>
      </w:r>
    </w:p>
    <w:p w:rsidR="001E659B" w:rsidRDefault="001E659B"/>
    <w:p w:rsidR="00EE203B" w:rsidRPr="001E659B" w:rsidRDefault="00EE203B" w:rsidP="001E659B">
      <w:pPr>
        <w:jc w:val="center"/>
        <w:rPr>
          <w:sz w:val="24"/>
          <w:szCs w:val="24"/>
        </w:rPr>
      </w:pPr>
      <w:r w:rsidRPr="001E659B">
        <w:rPr>
          <w:sz w:val="24"/>
          <w:szCs w:val="24"/>
        </w:rPr>
        <w:t>ABSTRACT</w:t>
      </w:r>
    </w:p>
    <w:p w:rsidR="00EE203B" w:rsidRPr="001E659B" w:rsidRDefault="00EE203B" w:rsidP="001E659B">
      <w:pPr>
        <w:jc w:val="both"/>
        <w:rPr>
          <w:sz w:val="24"/>
          <w:szCs w:val="24"/>
        </w:rPr>
      </w:pPr>
      <w:r w:rsidRPr="001E659B">
        <w:rPr>
          <w:sz w:val="24"/>
          <w:szCs w:val="24"/>
        </w:rPr>
        <w:t xml:space="preserve">Even during 6+6 slip stacking to </w:t>
      </w:r>
      <w:proofErr w:type="spellStart"/>
      <w:r w:rsidRPr="001E659B">
        <w:rPr>
          <w:sz w:val="24"/>
          <w:szCs w:val="24"/>
        </w:rPr>
        <w:t>NuMI</w:t>
      </w:r>
      <w:proofErr w:type="spellEnd"/>
      <w:r w:rsidRPr="001E659B">
        <w:rPr>
          <w:sz w:val="24"/>
          <w:szCs w:val="24"/>
        </w:rPr>
        <w:t xml:space="preserve"> and 5 Hz to the Short Baseline, the Booster will not run at 15 Hz.  However, if the Booster Neutrino beam could be steered rapidly off target, the additional beam could the sent to the 50 m absorber.  This paper explores the possibility of rapidly steering (kicking) the beam off target.</w:t>
      </w:r>
    </w:p>
    <w:p w:rsidR="00EE203B" w:rsidRPr="001E659B" w:rsidRDefault="00EE203B">
      <w:pPr>
        <w:rPr>
          <w:sz w:val="28"/>
          <w:szCs w:val="28"/>
        </w:rPr>
      </w:pPr>
      <w:r w:rsidRPr="001E659B">
        <w:rPr>
          <w:sz w:val="28"/>
          <w:szCs w:val="28"/>
        </w:rPr>
        <w:t>Introduction</w:t>
      </w:r>
    </w:p>
    <w:p w:rsidR="000F6DEB" w:rsidRPr="001E659B" w:rsidRDefault="000F6DEB">
      <w:pPr>
        <w:rPr>
          <w:sz w:val="24"/>
          <w:szCs w:val="24"/>
        </w:rPr>
      </w:pPr>
      <w:r w:rsidRPr="001E659B">
        <w:rPr>
          <w:sz w:val="24"/>
          <w:szCs w:val="24"/>
        </w:rPr>
        <w:t xml:space="preserve">The present Booster Neutrino </w:t>
      </w:r>
      <w:proofErr w:type="spellStart"/>
      <w:r w:rsidRPr="001E659B">
        <w:rPr>
          <w:sz w:val="24"/>
          <w:szCs w:val="24"/>
        </w:rPr>
        <w:t>Beamline</w:t>
      </w:r>
      <w:proofErr w:type="spellEnd"/>
      <w:r w:rsidRPr="001E659B">
        <w:rPr>
          <w:sz w:val="24"/>
          <w:szCs w:val="24"/>
        </w:rPr>
        <w:t xml:space="preserve"> [BNB] horn is designed to run at a maximum repetition rate of 5 Hz average; with 6+6 slip stacking to </w:t>
      </w:r>
      <w:proofErr w:type="spellStart"/>
      <w:r w:rsidRPr="001E659B">
        <w:rPr>
          <w:sz w:val="24"/>
          <w:szCs w:val="24"/>
        </w:rPr>
        <w:t>NuMI</w:t>
      </w:r>
      <w:proofErr w:type="spellEnd"/>
      <w:r w:rsidRPr="001E659B">
        <w:rPr>
          <w:sz w:val="24"/>
          <w:szCs w:val="24"/>
        </w:rPr>
        <w:t>, the Booster will run at 9 Hz average.  Thus, there will be, on average, 1 Hz “left over”.  See figure 1.</w:t>
      </w:r>
    </w:p>
    <w:p w:rsidR="000F6DEB" w:rsidRPr="001E659B" w:rsidRDefault="000F6DEB">
      <w:pPr>
        <w:rPr>
          <w:sz w:val="24"/>
          <w:szCs w:val="24"/>
        </w:rPr>
      </w:pPr>
      <w:r w:rsidRPr="001E659B">
        <w:rPr>
          <w:sz w:val="24"/>
          <w:szCs w:val="24"/>
        </w:rPr>
        <w:t xml:space="preserve">In 2015, BNB ran in “off-target” mode, that is, the primary beam was steered such that it went between the top of the target and below the inner wall of the target tube, and into an absorber located 50 m from the target.  This required an approximately 7.5 mm </w:t>
      </w:r>
      <w:r w:rsidR="00286CA0" w:rsidRPr="001E659B">
        <w:rPr>
          <w:sz w:val="24"/>
          <w:szCs w:val="24"/>
        </w:rPr>
        <w:t>vertical change in beam trajectory.  In this mode, the horn was not pulsed.</w:t>
      </w:r>
    </w:p>
    <w:p w:rsidR="00347AF1" w:rsidRPr="001E659B" w:rsidRDefault="00347AF1">
      <w:pPr>
        <w:rPr>
          <w:sz w:val="24"/>
          <w:szCs w:val="24"/>
        </w:rPr>
      </w:pPr>
      <w:r w:rsidRPr="001E659B">
        <w:rPr>
          <w:sz w:val="24"/>
          <w:szCs w:val="24"/>
        </w:rPr>
        <w:t>The final focusing triplet in BNB focuses the beam onto the target in both plane, that is, it acts as a thick focusing lens in each plane.  If the beam were kicked at the upstream focal point, this would translate to a parallel movement downstre</w:t>
      </w:r>
      <w:r w:rsidR="00590C8F">
        <w:rPr>
          <w:sz w:val="24"/>
          <w:szCs w:val="24"/>
        </w:rPr>
        <w:t>am of the lens (all para-axial rays converge to a single point, by definition of a thin focusing lens; then run the system backwards</w:t>
      </w:r>
      <w:r w:rsidRPr="001E659B">
        <w:rPr>
          <w:sz w:val="24"/>
          <w:szCs w:val="24"/>
        </w:rPr>
        <w:t>).</w:t>
      </w:r>
    </w:p>
    <w:p w:rsidR="00347AF1" w:rsidRPr="001E659B" w:rsidRDefault="00347AF1">
      <w:pPr>
        <w:rPr>
          <w:sz w:val="24"/>
          <w:szCs w:val="24"/>
        </w:rPr>
      </w:pPr>
      <w:r w:rsidRPr="001E659B">
        <w:rPr>
          <w:sz w:val="24"/>
          <w:szCs w:val="24"/>
        </w:rPr>
        <w:t>The Booster operates at 15 Hz.  Thus, any kicker magnet would need to rise/fall in about 1/30 second (at present, all BNB magnets, except the initial switch magnet, operate DC).</w:t>
      </w:r>
    </w:p>
    <w:p w:rsidR="00347AF1" w:rsidRPr="001E659B" w:rsidRDefault="00347AF1">
      <w:pPr>
        <w:rPr>
          <w:sz w:val="24"/>
          <w:szCs w:val="24"/>
        </w:rPr>
      </w:pPr>
      <w:r w:rsidRPr="001E659B">
        <w:rPr>
          <w:sz w:val="24"/>
          <w:szCs w:val="24"/>
        </w:rPr>
        <w:t>Thus, if a kicker can be located at the upstream focal point, the beam can be steered off target.</w:t>
      </w:r>
    </w:p>
    <w:p w:rsidR="00D961B8" w:rsidRPr="001E659B" w:rsidRDefault="00D961B8">
      <w:pPr>
        <w:rPr>
          <w:sz w:val="28"/>
          <w:szCs w:val="28"/>
        </w:rPr>
      </w:pPr>
      <w:proofErr w:type="spellStart"/>
      <w:r w:rsidRPr="001E659B">
        <w:rPr>
          <w:sz w:val="28"/>
          <w:szCs w:val="28"/>
        </w:rPr>
        <w:t>Beamline</w:t>
      </w:r>
      <w:proofErr w:type="spellEnd"/>
      <w:r w:rsidRPr="001E659B">
        <w:rPr>
          <w:sz w:val="28"/>
          <w:szCs w:val="28"/>
        </w:rPr>
        <w:t xml:space="preserve"> Optics</w:t>
      </w:r>
    </w:p>
    <w:p w:rsidR="00347AF1" w:rsidRPr="001E659B" w:rsidRDefault="00347AF1">
      <w:pPr>
        <w:rPr>
          <w:sz w:val="24"/>
          <w:szCs w:val="24"/>
        </w:rPr>
      </w:pPr>
      <w:r w:rsidRPr="001E659B">
        <w:rPr>
          <w:sz w:val="24"/>
          <w:szCs w:val="24"/>
        </w:rPr>
        <w:t xml:space="preserve">A calculation using the transfer matrix of the triplet, and confirmed using TRANSPORT, indicates that the upstream vertical focal point is 10.5 m upstream of the first triplet </w:t>
      </w:r>
      <w:proofErr w:type="spellStart"/>
      <w:r w:rsidRPr="001E659B">
        <w:rPr>
          <w:sz w:val="24"/>
          <w:szCs w:val="24"/>
        </w:rPr>
        <w:t>quadrupole</w:t>
      </w:r>
      <w:proofErr w:type="spellEnd"/>
      <w:r w:rsidRPr="001E659B">
        <w:rPr>
          <w:sz w:val="24"/>
          <w:szCs w:val="24"/>
        </w:rPr>
        <w:t xml:space="preserve"> (Q873).</w:t>
      </w:r>
      <w:r w:rsidR="00D961B8" w:rsidRPr="001E659B">
        <w:rPr>
          <w:sz w:val="24"/>
          <w:szCs w:val="24"/>
        </w:rPr>
        <w:t xml:space="preserve">  If located at this point, a 0.0240 T*m kick would move the beam 7.5 mm above the target.  The present LEP correctors are capable of a 0.0211 T*m (DC) kick, indicating that 0.0240 T*m is a reasonable strength.</w:t>
      </w:r>
    </w:p>
    <w:p w:rsidR="00590C8F" w:rsidRDefault="00590C8F">
      <w:pPr>
        <w:rPr>
          <w:sz w:val="28"/>
          <w:szCs w:val="28"/>
        </w:rPr>
      </w:pPr>
    </w:p>
    <w:p w:rsidR="00D961B8" w:rsidRPr="001E659B" w:rsidRDefault="00D961B8">
      <w:pPr>
        <w:rPr>
          <w:sz w:val="28"/>
          <w:szCs w:val="28"/>
        </w:rPr>
      </w:pPr>
      <w:r w:rsidRPr="001E659B">
        <w:rPr>
          <w:sz w:val="28"/>
          <w:szCs w:val="28"/>
        </w:rPr>
        <w:lastRenderedPageBreak/>
        <w:t>Magnet Selection</w:t>
      </w:r>
    </w:p>
    <w:p w:rsidR="00D961B8" w:rsidRPr="001E659B" w:rsidRDefault="00D961B8">
      <w:pPr>
        <w:rPr>
          <w:sz w:val="24"/>
          <w:szCs w:val="24"/>
        </w:rPr>
      </w:pPr>
      <w:r w:rsidRPr="001E659B">
        <w:rPr>
          <w:sz w:val="24"/>
          <w:szCs w:val="24"/>
        </w:rPr>
        <w:t>Table 1 shows several candidate magnets and their associated parameters.  In addition to strength, the magnet must have a low enough inductance so that it can be ramped, and adequate aperture.  A good choice is an NDB type magnet.</w:t>
      </w:r>
      <w:r w:rsidR="00A465B6" w:rsidRPr="001E659B">
        <w:rPr>
          <w:sz w:val="24"/>
          <w:szCs w:val="24"/>
        </w:rPr>
        <w:t xml:space="preserve">  EE support should be consulted regarding this choice.</w:t>
      </w:r>
    </w:p>
    <w:p w:rsidR="00D961B8" w:rsidRPr="001E659B" w:rsidRDefault="00D961B8">
      <w:pPr>
        <w:rPr>
          <w:sz w:val="28"/>
          <w:szCs w:val="28"/>
        </w:rPr>
      </w:pPr>
      <w:proofErr w:type="spellStart"/>
      <w:r w:rsidRPr="001E659B">
        <w:rPr>
          <w:sz w:val="28"/>
          <w:szCs w:val="28"/>
        </w:rPr>
        <w:t>Beamline</w:t>
      </w:r>
      <w:proofErr w:type="spellEnd"/>
      <w:r w:rsidRPr="001E659B">
        <w:rPr>
          <w:sz w:val="28"/>
          <w:szCs w:val="28"/>
        </w:rPr>
        <w:t xml:space="preserve"> Optics Two – Harsh Reality </w:t>
      </w:r>
      <w:proofErr w:type="gramStart"/>
      <w:r w:rsidRPr="001E659B">
        <w:rPr>
          <w:sz w:val="28"/>
          <w:szCs w:val="28"/>
        </w:rPr>
        <w:t>Rears</w:t>
      </w:r>
      <w:proofErr w:type="gramEnd"/>
      <w:r w:rsidRPr="001E659B">
        <w:rPr>
          <w:sz w:val="28"/>
          <w:szCs w:val="28"/>
        </w:rPr>
        <w:t xml:space="preserve"> </w:t>
      </w:r>
      <w:proofErr w:type="spellStart"/>
      <w:r w:rsidRPr="001E659B">
        <w:rPr>
          <w:sz w:val="28"/>
          <w:szCs w:val="28"/>
        </w:rPr>
        <w:t>it’s</w:t>
      </w:r>
      <w:proofErr w:type="spellEnd"/>
      <w:r w:rsidRPr="001E659B">
        <w:rPr>
          <w:sz w:val="28"/>
          <w:szCs w:val="28"/>
        </w:rPr>
        <w:t xml:space="preserve"> Ugly Head</w:t>
      </w:r>
    </w:p>
    <w:p w:rsidR="00D961B8" w:rsidRPr="001E659B" w:rsidRDefault="00192FF5">
      <w:pPr>
        <w:rPr>
          <w:sz w:val="24"/>
          <w:szCs w:val="24"/>
        </w:rPr>
      </w:pPr>
      <w:r w:rsidRPr="001E659B">
        <w:rPr>
          <w:sz w:val="24"/>
          <w:szCs w:val="24"/>
        </w:rPr>
        <w:t xml:space="preserve">Unfortunately, the focal point is at the upstream face of the last bend in the vertical dogleg (V8721).  Additionally, real magnets have bellows and other things hanging off them.  Nonetheless, we modify the </w:t>
      </w:r>
      <w:proofErr w:type="spellStart"/>
      <w:r w:rsidRPr="001E659B">
        <w:rPr>
          <w:sz w:val="24"/>
          <w:szCs w:val="24"/>
        </w:rPr>
        <w:t>beamline</w:t>
      </w:r>
      <w:proofErr w:type="spellEnd"/>
      <w:r w:rsidRPr="001E659B">
        <w:rPr>
          <w:sz w:val="24"/>
          <w:szCs w:val="24"/>
        </w:rPr>
        <w:t xml:space="preserve"> model to have an NDB upstream of V8721, with 30 cm separation.</w:t>
      </w:r>
      <w:r w:rsidR="00E937E8" w:rsidRPr="001E659B">
        <w:rPr>
          <w:sz w:val="24"/>
          <w:szCs w:val="24"/>
        </w:rPr>
        <w:t xml:space="preserve">  The beam is no longer parallel when exiting the triplet – it has a 0.073 </w:t>
      </w:r>
      <w:proofErr w:type="spellStart"/>
      <w:r w:rsidR="00E937E8" w:rsidRPr="001E659B">
        <w:rPr>
          <w:sz w:val="24"/>
          <w:szCs w:val="24"/>
        </w:rPr>
        <w:t>mr</w:t>
      </w:r>
      <w:proofErr w:type="spellEnd"/>
      <w:r w:rsidR="00E937E8" w:rsidRPr="001E659B">
        <w:rPr>
          <w:sz w:val="24"/>
          <w:szCs w:val="24"/>
        </w:rPr>
        <w:t xml:space="preserve"> pitch, which would result in a 3.8 mm (as opposed to 7.5 mm offset) at the 50 m absorber, and a -32 mm offset at the </w:t>
      </w:r>
      <w:proofErr w:type="spellStart"/>
      <w:r w:rsidR="00E937E8" w:rsidRPr="001E659B">
        <w:rPr>
          <w:sz w:val="24"/>
          <w:szCs w:val="24"/>
        </w:rPr>
        <w:t>MiniBooNE</w:t>
      </w:r>
      <w:proofErr w:type="spellEnd"/>
      <w:r w:rsidR="00E937E8" w:rsidRPr="001E659B">
        <w:rPr>
          <w:sz w:val="24"/>
          <w:szCs w:val="24"/>
        </w:rPr>
        <w:t xml:space="preserve"> detector.</w:t>
      </w:r>
    </w:p>
    <w:p w:rsidR="00E937E8" w:rsidRPr="001E659B" w:rsidRDefault="00E937E8">
      <w:pPr>
        <w:rPr>
          <w:sz w:val="28"/>
          <w:szCs w:val="28"/>
        </w:rPr>
      </w:pPr>
      <w:r w:rsidRPr="001E659B">
        <w:rPr>
          <w:sz w:val="28"/>
          <w:szCs w:val="28"/>
        </w:rPr>
        <w:t>Control of the Magnet</w:t>
      </w:r>
    </w:p>
    <w:p w:rsidR="00B1421F" w:rsidRPr="001E659B" w:rsidRDefault="00B1421F">
      <w:pPr>
        <w:rPr>
          <w:sz w:val="24"/>
          <w:szCs w:val="24"/>
        </w:rPr>
      </w:pPr>
      <w:r w:rsidRPr="001E659B">
        <w:rPr>
          <w:sz w:val="24"/>
          <w:szCs w:val="24"/>
        </w:rPr>
        <w:t xml:space="preserve">Because the magnet would kick when the horn is off, the kicker and horn require different events.  One possibility is to re-task the “beginning of pulse train” ($B0) and “end of pulse train” ($B1) events to “BNB Horn Fire” and “BNB Kicker Fire”, respectively.  These events could be broadcast synchronously with a $1D.  An advantage of this scheme is no other systems (MBEX, </w:t>
      </w:r>
      <w:proofErr w:type="spellStart"/>
      <w:r w:rsidRPr="001E659B">
        <w:rPr>
          <w:sz w:val="24"/>
          <w:szCs w:val="24"/>
        </w:rPr>
        <w:t>multiwires</w:t>
      </w:r>
      <w:proofErr w:type="spellEnd"/>
      <w:r w:rsidRPr="001E659B">
        <w:rPr>
          <w:sz w:val="24"/>
          <w:szCs w:val="24"/>
        </w:rPr>
        <w:t xml:space="preserve">, </w:t>
      </w:r>
      <w:proofErr w:type="spellStart"/>
      <w:r w:rsidRPr="001E659B">
        <w:rPr>
          <w:sz w:val="24"/>
          <w:szCs w:val="24"/>
        </w:rPr>
        <w:t>lossmonitors</w:t>
      </w:r>
      <w:proofErr w:type="spellEnd"/>
      <w:r w:rsidRPr="001E659B">
        <w:rPr>
          <w:sz w:val="24"/>
          <w:szCs w:val="24"/>
        </w:rPr>
        <w:t xml:space="preserve">) </w:t>
      </w:r>
      <w:r w:rsidR="00A465B6" w:rsidRPr="001E659B">
        <w:rPr>
          <w:sz w:val="24"/>
          <w:szCs w:val="24"/>
        </w:rPr>
        <w:t>would be affected.</w:t>
      </w:r>
    </w:p>
    <w:p w:rsidR="00A465B6" w:rsidRPr="001E659B" w:rsidRDefault="00A465B6">
      <w:pPr>
        <w:rPr>
          <w:sz w:val="28"/>
          <w:szCs w:val="28"/>
        </w:rPr>
      </w:pPr>
      <w:r w:rsidRPr="001E659B">
        <w:rPr>
          <w:sz w:val="28"/>
          <w:szCs w:val="28"/>
        </w:rPr>
        <w:t>Conclusion</w:t>
      </w:r>
    </w:p>
    <w:p w:rsidR="00A465B6" w:rsidRDefault="00A465B6">
      <w:pPr>
        <w:rPr>
          <w:sz w:val="24"/>
          <w:szCs w:val="24"/>
        </w:rPr>
      </w:pPr>
      <w:r w:rsidRPr="001E659B">
        <w:rPr>
          <w:sz w:val="24"/>
          <w:szCs w:val="24"/>
        </w:rPr>
        <w:t xml:space="preserve">Assuming an offset of -32 mm (as opposed to 7.5 mm) at the </w:t>
      </w:r>
      <w:proofErr w:type="spellStart"/>
      <w:r w:rsidRPr="001E659B">
        <w:rPr>
          <w:sz w:val="24"/>
          <w:szCs w:val="24"/>
        </w:rPr>
        <w:t>MiniBooNE</w:t>
      </w:r>
      <w:proofErr w:type="spellEnd"/>
      <w:r w:rsidRPr="001E659B">
        <w:rPr>
          <w:sz w:val="24"/>
          <w:szCs w:val="24"/>
        </w:rPr>
        <w:t xml:space="preserve"> detector is acceptable, it is possible to steer the beam off the target for individual pulses using a single existing kicking magnet.</w:t>
      </w:r>
    </w:p>
    <w:p w:rsidR="00417542" w:rsidRDefault="00417542">
      <w:pPr>
        <w:rPr>
          <w:sz w:val="24"/>
          <w:szCs w:val="24"/>
        </w:rPr>
      </w:pPr>
    </w:p>
    <w:p w:rsidR="00417542" w:rsidRDefault="00417542">
      <w:pPr>
        <w:rPr>
          <w:sz w:val="24"/>
          <w:szCs w:val="24"/>
        </w:rPr>
      </w:pPr>
      <w:r>
        <w:rPr>
          <w:noProof/>
        </w:rPr>
        <w:lastRenderedPageBreak/>
        <w:drawing>
          <wp:inline distT="0" distB="0" distL="0" distR="0" wp14:anchorId="5FDD6481" wp14:editId="4B65A552">
            <wp:extent cx="5943600" cy="2691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691765"/>
                    </a:xfrm>
                    <a:prstGeom prst="rect">
                      <a:avLst/>
                    </a:prstGeom>
                  </pic:spPr>
                </pic:pic>
              </a:graphicData>
            </a:graphic>
          </wp:inline>
        </w:drawing>
      </w:r>
    </w:p>
    <w:p w:rsidR="00A465B6" w:rsidRDefault="00417542">
      <w:pPr>
        <w:rPr>
          <w:sz w:val="24"/>
          <w:szCs w:val="24"/>
        </w:rPr>
      </w:pPr>
      <w:r>
        <w:rPr>
          <w:sz w:val="24"/>
          <w:szCs w:val="24"/>
        </w:rPr>
        <w:tab/>
        <w:t>Figure 1.  Slip stacking and BNB scenarios.</w:t>
      </w:r>
    </w:p>
    <w:p w:rsidR="00590C8F" w:rsidRPr="00590C8F" w:rsidRDefault="00590C8F">
      <w:pPr>
        <w:rPr>
          <w:sz w:val="24"/>
          <w:szCs w:val="24"/>
        </w:rPr>
      </w:pP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Type</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s</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x</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g</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I_{max}</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R</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L</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BL</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[m]</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[T*m/A]</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[m]</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[A]</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[ohm]</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[H]</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[T*m]</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MCH</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0.400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0.0130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0.102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10.2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23.0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MCV</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0.400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0.0085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0.199</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21.8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9.3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MCHB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0.400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0.0042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0.102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MCVB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0.400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0.0033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0.199</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HDC</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0.305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0.0072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0.051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15.0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VDC</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0.305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0.0032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0.127</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15.0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0.9</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0.02113</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0.508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0.0018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0.143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0.02400</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NDA</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0.203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0.0016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0.114</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19.0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0.02400</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0.508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0.0018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0.143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20.0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0.02529</w:t>
            </w:r>
          </w:p>
        </w:tc>
      </w:tr>
    </w:tbl>
    <w:p w:rsidR="00A465B6" w:rsidRDefault="00A465B6"/>
    <w:tbl>
      <w:tblPr>
        <w:tblW w:w="7830" w:type="dxa"/>
        <w:tblLook w:val="04A0" w:firstRow="1" w:lastRow="0" w:firstColumn="1" w:lastColumn="0" w:noHBand="0" w:noVBand="1"/>
      </w:tblPr>
      <w:tblGrid>
        <w:gridCol w:w="960"/>
        <w:gridCol w:w="960"/>
        <w:gridCol w:w="960"/>
        <w:gridCol w:w="1124"/>
        <w:gridCol w:w="960"/>
        <w:gridCol w:w="960"/>
        <w:gridCol w:w="1906"/>
      </w:tblGrid>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Type</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proofErr w:type="spellStart"/>
            <w:r w:rsidRPr="00A465B6">
              <w:rPr>
                <w:rFonts w:ascii="Calibri" w:eastAsia="Times New Roman" w:hAnsi="Calibri" w:cs="Times New Roman"/>
                <w:b/>
                <w:bCs/>
                <w:color w:val="0000FF"/>
              </w:rPr>
              <w:t>dI</w:t>
            </w:r>
            <w:proofErr w:type="spellEnd"/>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proofErr w:type="spellStart"/>
            <w:r w:rsidRPr="00A465B6">
              <w:rPr>
                <w:rFonts w:ascii="Calibri" w:eastAsia="Times New Roman" w:hAnsi="Calibri" w:cs="Times New Roman"/>
                <w:b/>
                <w:bCs/>
                <w:color w:val="0000FF"/>
              </w:rPr>
              <w:t>dt</w:t>
            </w:r>
            <w:proofErr w:type="spellEnd"/>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V=L*</w:t>
            </w:r>
            <w:proofErr w:type="spellStart"/>
            <w:r w:rsidRPr="00A465B6">
              <w:rPr>
                <w:rFonts w:ascii="Calibri" w:eastAsia="Times New Roman" w:hAnsi="Calibri" w:cs="Times New Roman"/>
                <w:b/>
                <w:bCs/>
                <w:color w:val="0000FF"/>
              </w:rPr>
              <w:t>dI</w:t>
            </w:r>
            <w:proofErr w:type="spellEnd"/>
            <w:r w:rsidRPr="00A465B6">
              <w:rPr>
                <w:rFonts w:ascii="Calibri" w:eastAsia="Times New Roman" w:hAnsi="Calibri" w:cs="Times New Roman"/>
                <w:b/>
                <w:bCs/>
                <w:color w:val="0000FF"/>
              </w:rPr>
              <w:t>/</w:t>
            </w:r>
            <w:proofErr w:type="spellStart"/>
            <w:r w:rsidRPr="00A465B6">
              <w:rPr>
                <w:rFonts w:ascii="Calibri" w:eastAsia="Times New Roman" w:hAnsi="Calibri" w:cs="Times New Roman"/>
                <w:b/>
                <w:bCs/>
                <w:color w:val="0000FF"/>
              </w:rPr>
              <w:t>dt</w:t>
            </w:r>
            <w:proofErr w:type="spellEnd"/>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V=I*R</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V_{T}</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r w:rsidRPr="00A465B6">
              <w:rPr>
                <w:rFonts w:ascii="Calibri" w:eastAsia="Times New Roman" w:hAnsi="Calibri" w:cs="Times New Roman"/>
                <w:b/>
                <w:bCs/>
                <w:color w:val="0000FF"/>
              </w:rPr>
              <w:t>notes</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b/>
                <w:bCs/>
                <w:color w:val="0000FF"/>
              </w:rPr>
            </w:pP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[A]</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[s]</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[V]</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[V]</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r w:rsidRPr="00A465B6">
              <w:rPr>
                <w:rFonts w:ascii="Calibri" w:eastAsia="Times New Roman" w:hAnsi="Calibri" w:cs="Times New Roman"/>
                <w:color w:val="0000FF"/>
              </w:rPr>
              <w:t>[V]</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center"/>
              <w:rPr>
                <w:rFonts w:ascii="Calibri" w:eastAsia="Times New Roman" w:hAnsi="Calibri" w:cs="Times New Roman"/>
                <w:color w:val="0000FF"/>
              </w:rPr>
            </w:pP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MCH</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1.63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1121.3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16.6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1137.8</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voltage too high</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MCV</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2.50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693.8</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54.5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748.3</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voltage too high</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MCHB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5.03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164.5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10.6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175.1</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gap marginal</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MCVB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6.40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284.2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17.6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301.8</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HDC</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2.95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97.4</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6.5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103.9</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gap too small</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VDC</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6.69</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180.5</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16.0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196.5</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13.50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120.7</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10.1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130.8</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looks good</w:t>
            </w: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NDA</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14.96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153.0</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12.3</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165.3</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p>
        </w:tc>
      </w:tr>
      <w:tr w:rsidR="00A465B6" w:rsidRPr="00A465B6" w:rsidTr="00A465B6">
        <w:trPr>
          <w:trHeight w:val="300"/>
        </w:trPr>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NDB</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14.22</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0.033</w:t>
            </w:r>
          </w:p>
        </w:tc>
        <w:tc>
          <w:tcPr>
            <w:tcW w:w="1124"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127.1</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10.6</w:t>
            </w:r>
          </w:p>
        </w:tc>
        <w:tc>
          <w:tcPr>
            <w:tcW w:w="960"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jc w:val="right"/>
              <w:rPr>
                <w:rFonts w:ascii="Calibri" w:eastAsia="Times New Roman" w:hAnsi="Calibri" w:cs="Times New Roman"/>
                <w:color w:val="000000"/>
              </w:rPr>
            </w:pPr>
            <w:r w:rsidRPr="00A465B6">
              <w:rPr>
                <w:rFonts w:ascii="Calibri" w:eastAsia="Times New Roman" w:hAnsi="Calibri" w:cs="Times New Roman"/>
                <w:color w:val="000000"/>
              </w:rPr>
              <w:t>137.8</w:t>
            </w:r>
          </w:p>
        </w:tc>
        <w:tc>
          <w:tcPr>
            <w:tcW w:w="1906" w:type="dxa"/>
            <w:tcBorders>
              <w:top w:val="nil"/>
              <w:left w:val="nil"/>
              <w:bottom w:val="nil"/>
              <w:right w:val="nil"/>
            </w:tcBorders>
            <w:shd w:val="clear" w:color="auto" w:fill="auto"/>
            <w:noWrap/>
            <w:vAlign w:val="bottom"/>
            <w:hideMark/>
          </w:tcPr>
          <w:p w:rsidR="00A465B6" w:rsidRPr="00A465B6" w:rsidRDefault="00A465B6" w:rsidP="00A465B6">
            <w:pPr>
              <w:spacing w:after="0" w:line="240" w:lineRule="auto"/>
              <w:rPr>
                <w:rFonts w:ascii="Calibri" w:eastAsia="Times New Roman" w:hAnsi="Calibri" w:cs="Times New Roman"/>
                <w:color w:val="000000"/>
              </w:rPr>
            </w:pPr>
            <w:r w:rsidRPr="00A465B6">
              <w:rPr>
                <w:rFonts w:ascii="Calibri" w:eastAsia="Times New Roman" w:hAnsi="Calibri" w:cs="Times New Roman"/>
                <w:color w:val="000000"/>
              </w:rPr>
              <w:t>TRANSPORT value</w:t>
            </w:r>
          </w:p>
        </w:tc>
      </w:tr>
    </w:tbl>
    <w:p w:rsidR="00A465B6" w:rsidRDefault="00A465B6" w:rsidP="00590C8F">
      <w:pPr>
        <w:ind w:firstLine="720"/>
      </w:pPr>
      <w:r>
        <w:t>Table 1.  Parameters of various candidate magnets.</w:t>
      </w:r>
    </w:p>
    <w:p w:rsidR="00417542" w:rsidRDefault="00417542"/>
    <w:p w:rsidR="00417542" w:rsidRDefault="00417542"/>
    <w:p w:rsidR="00417542" w:rsidRDefault="00417542"/>
    <w:sectPr w:rsidR="004175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0C" w:rsidRDefault="00AF360C" w:rsidP="00AF360C">
      <w:pPr>
        <w:spacing w:after="0" w:line="240" w:lineRule="auto"/>
      </w:pPr>
      <w:r>
        <w:separator/>
      </w:r>
    </w:p>
  </w:endnote>
  <w:endnote w:type="continuationSeparator" w:id="0">
    <w:p w:rsidR="00AF360C" w:rsidRDefault="00AF360C" w:rsidP="00AF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4052"/>
      <w:docPartObj>
        <w:docPartGallery w:val="Page Numbers (Bottom of Page)"/>
        <w:docPartUnique/>
      </w:docPartObj>
    </w:sdtPr>
    <w:sdtEndPr>
      <w:rPr>
        <w:noProof/>
      </w:rPr>
    </w:sdtEndPr>
    <w:sdtContent>
      <w:p w:rsidR="00AF360C" w:rsidRDefault="00AF36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360C" w:rsidRDefault="00AF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0C" w:rsidRDefault="00AF360C" w:rsidP="00AF360C">
      <w:pPr>
        <w:spacing w:after="0" w:line="240" w:lineRule="auto"/>
      </w:pPr>
      <w:r>
        <w:separator/>
      </w:r>
    </w:p>
  </w:footnote>
  <w:footnote w:type="continuationSeparator" w:id="0">
    <w:p w:rsidR="00AF360C" w:rsidRDefault="00AF360C" w:rsidP="00AF3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C" w:rsidRDefault="00AF360C">
    <w:pPr>
      <w:pStyle w:val="Header"/>
    </w:pPr>
    <w:r>
      <w:t>Beams-doc-5049</w:t>
    </w:r>
  </w:p>
  <w:p w:rsidR="00AF360C" w:rsidRDefault="00AF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3B"/>
    <w:rsid w:val="000F6DEB"/>
    <w:rsid w:val="00192FF5"/>
    <w:rsid w:val="001E659B"/>
    <w:rsid w:val="00286CA0"/>
    <w:rsid w:val="002E1010"/>
    <w:rsid w:val="00347AF1"/>
    <w:rsid w:val="00417542"/>
    <w:rsid w:val="00590C8F"/>
    <w:rsid w:val="00A465B6"/>
    <w:rsid w:val="00AF360C"/>
    <w:rsid w:val="00B1421F"/>
    <w:rsid w:val="00D961B8"/>
    <w:rsid w:val="00E937E8"/>
    <w:rsid w:val="00EE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296E-B8EB-4792-A397-4EBBC49A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5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5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659B"/>
    <w:rPr>
      <w:rFonts w:eastAsiaTheme="minorEastAsia"/>
      <w:color w:val="5A5A5A" w:themeColor="text1" w:themeTint="A5"/>
      <w:spacing w:val="15"/>
    </w:rPr>
  </w:style>
  <w:style w:type="paragraph" w:styleId="Header">
    <w:name w:val="header"/>
    <w:basedOn w:val="Normal"/>
    <w:link w:val="HeaderChar"/>
    <w:uiPriority w:val="99"/>
    <w:unhideWhenUsed/>
    <w:rsid w:val="00AF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0C"/>
  </w:style>
  <w:style w:type="paragraph" w:styleId="Footer">
    <w:name w:val="footer"/>
    <w:basedOn w:val="Normal"/>
    <w:link w:val="FooterChar"/>
    <w:uiPriority w:val="99"/>
    <w:unhideWhenUsed/>
    <w:rsid w:val="00AF3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5370">
      <w:bodyDiv w:val="1"/>
      <w:marLeft w:val="0"/>
      <w:marRight w:val="0"/>
      <w:marTop w:val="0"/>
      <w:marBottom w:val="0"/>
      <w:divBdr>
        <w:top w:val="none" w:sz="0" w:space="0" w:color="auto"/>
        <w:left w:val="none" w:sz="0" w:space="0" w:color="auto"/>
        <w:bottom w:val="none" w:sz="0" w:space="0" w:color="auto"/>
        <w:right w:val="none" w:sz="0" w:space="0" w:color="auto"/>
      </w:divBdr>
    </w:div>
    <w:div w:id="1830096046">
      <w:bodyDiv w:val="1"/>
      <w:marLeft w:val="0"/>
      <w:marRight w:val="0"/>
      <w:marTop w:val="0"/>
      <w:marBottom w:val="0"/>
      <w:divBdr>
        <w:top w:val="none" w:sz="0" w:space="0" w:color="auto"/>
        <w:left w:val="none" w:sz="0" w:space="0" w:color="auto"/>
        <w:bottom w:val="none" w:sz="0" w:space="0" w:color="auto"/>
        <w:right w:val="none" w:sz="0" w:space="0" w:color="auto"/>
      </w:divBdr>
    </w:div>
    <w:div w:id="19077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67"/>
    <w:rsid w:val="0004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BAFE0BFC5451BAFA16FD873F3D3D1">
    <w:name w:val="27BBAFE0BFC5451BAFA16FD873F3D3D1"/>
    <w:rsid w:val="0004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1098-F9C2-45A7-A914-86D36E6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Kobilarcik x2882 08552N</dc:creator>
  <cp:keywords/>
  <dc:description/>
  <cp:lastModifiedBy>Thomas R. Kobilarcik x2882 08552N</cp:lastModifiedBy>
  <cp:revision>6</cp:revision>
  <dcterms:created xsi:type="dcterms:W3CDTF">2016-01-21T17:10:00Z</dcterms:created>
  <dcterms:modified xsi:type="dcterms:W3CDTF">2016-01-21T20:35:00Z</dcterms:modified>
</cp:coreProperties>
</file>